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F0557">
      <w:pPr>
        <w:jc w:val="center"/>
        <w:rPr>
          <w:b/>
          <w:sz w:val="32"/>
          <w:szCs w:val="32"/>
        </w:rPr>
      </w:pPr>
    </w:p>
    <w:p w14:paraId="529DB435">
      <w:pPr>
        <w:jc w:val="center"/>
        <w:rPr>
          <w:b/>
          <w:sz w:val="32"/>
          <w:szCs w:val="32"/>
        </w:rPr>
      </w:pPr>
    </w:p>
    <w:p w14:paraId="0D920277">
      <w:pPr>
        <w:jc w:val="center"/>
        <w:rPr>
          <w:b/>
          <w:sz w:val="32"/>
          <w:szCs w:val="32"/>
        </w:rPr>
      </w:pPr>
    </w:p>
    <w:p w14:paraId="6F801AB9">
      <w:pPr>
        <w:spacing w:line="360" w:lineRule="auto"/>
        <w:jc w:val="center"/>
        <w:rPr>
          <w:rFonts w:eastAsia="黑体"/>
          <w:b/>
          <w:kern w:val="22"/>
          <w:sz w:val="44"/>
          <w:szCs w:val="44"/>
        </w:rPr>
      </w:pPr>
      <w:r>
        <w:rPr>
          <w:rFonts w:eastAsia="黑体"/>
          <w:b/>
          <w:kern w:val="22"/>
          <w:sz w:val="44"/>
          <w:szCs w:val="44"/>
        </w:rPr>
        <w:t>山西省地方标准</w:t>
      </w:r>
    </w:p>
    <w:p w14:paraId="59830770">
      <w:pPr>
        <w:spacing w:line="360" w:lineRule="auto"/>
        <w:jc w:val="center"/>
        <w:rPr>
          <w:rFonts w:eastAsia="黑体"/>
          <w:b/>
          <w:kern w:val="22"/>
          <w:sz w:val="44"/>
          <w:szCs w:val="44"/>
        </w:rPr>
      </w:pPr>
      <w:r>
        <w:rPr>
          <w:rFonts w:eastAsia="黑体"/>
          <w:b/>
          <w:kern w:val="22"/>
          <w:sz w:val="44"/>
          <w:szCs w:val="44"/>
        </w:rPr>
        <w:t>《黄花菜采收技术规程》</w:t>
      </w:r>
    </w:p>
    <w:p w14:paraId="201DFD74">
      <w:pPr>
        <w:spacing w:line="360" w:lineRule="auto"/>
        <w:jc w:val="center"/>
        <w:rPr>
          <w:rFonts w:eastAsia="黑体"/>
          <w:b/>
          <w:kern w:val="22"/>
          <w:sz w:val="44"/>
          <w:szCs w:val="44"/>
        </w:rPr>
      </w:pPr>
      <w:r>
        <w:rPr>
          <w:rFonts w:eastAsia="黑体"/>
          <w:b/>
          <w:kern w:val="22"/>
          <w:sz w:val="44"/>
          <w:szCs w:val="44"/>
        </w:rPr>
        <w:t>编制说明</w:t>
      </w:r>
    </w:p>
    <w:p w14:paraId="310480F5">
      <w:pPr>
        <w:ind w:firstLine="643" w:firstLineChars="200"/>
        <w:rPr>
          <w:rFonts w:eastAsia="仿宋"/>
          <w:b/>
          <w:sz w:val="32"/>
          <w:szCs w:val="32"/>
        </w:rPr>
      </w:pPr>
    </w:p>
    <w:p w14:paraId="0A666E15">
      <w:pPr>
        <w:ind w:firstLine="643" w:firstLineChars="200"/>
        <w:rPr>
          <w:rFonts w:eastAsia="仿宋"/>
          <w:b/>
          <w:sz w:val="32"/>
          <w:szCs w:val="32"/>
        </w:rPr>
      </w:pPr>
    </w:p>
    <w:p w14:paraId="5EEC1708">
      <w:pPr>
        <w:ind w:firstLine="643" w:firstLineChars="200"/>
        <w:rPr>
          <w:rFonts w:eastAsia="仿宋"/>
          <w:b/>
          <w:sz w:val="32"/>
          <w:szCs w:val="32"/>
        </w:rPr>
      </w:pPr>
    </w:p>
    <w:p w14:paraId="05FE731A">
      <w:pPr>
        <w:ind w:firstLine="643" w:firstLineChars="200"/>
        <w:rPr>
          <w:rFonts w:eastAsia="仿宋"/>
          <w:b/>
          <w:sz w:val="32"/>
          <w:szCs w:val="32"/>
        </w:rPr>
      </w:pPr>
    </w:p>
    <w:p w14:paraId="03E96853">
      <w:pPr>
        <w:rPr>
          <w:rFonts w:eastAsia="仿宋"/>
          <w:b/>
          <w:sz w:val="32"/>
          <w:szCs w:val="32"/>
        </w:rPr>
      </w:pPr>
    </w:p>
    <w:p w14:paraId="46EDF6A1">
      <w:pPr>
        <w:ind w:firstLine="643" w:firstLineChars="200"/>
        <w:jc w:val="center"/>
        <w:rPr>
          <w:b/>
          <w:sz w:val="32"/>
          <w:szCs w:val="32"/>
        </w:rPr>
      </w:pPr>
    </w:p>
    <w:p w14:paraId="0CAB43C6">
      <w:pPr>
        <w:ind w:firstLine="643" w:firstLineChars="200"/>
        <w:jc w:val="center"/>
        <w:rPr>
          <w:b/>
          <w:sz w:val="32"/>
          <w:szCs w:val="32"/>
        </w:rPr>
      </w:pPr>
    </w:p>
    <w:p w14:paraId="1F8BFFC2">
      <w:pPr>
        <w:ind w:firstLine="643" w:firstLineChars="200"/>
        <w:jc w:val="center"/>
        <w:rPr>
          <w:b/>
          <w:sz w:val="32"/>
          <w:szCs w:val="32"/>
        </w:rPr>
      </w:pPr>
    </w:p>
    <w:p w14:paraId="7AB02AD5">
      <w:pPr>
        <w:spacing w:line="360" w:lineRule="auto"/>
        <w:jc w:val="center"/>
        <w:rPr>
          <w:b/>
          <w:kern w:val="22"/>
          <w:sz w:val="32"/>
          <w:szCs w:val="32"/>
        </w:rPr>
      </w:pPr>
      <w:r>
        <w:rPr>
          <w:b/>
          <w:kern w:val="22"/>
          <w:sz w:val="32"/>
          <w:szCs w:val="32"/>
        </w:rPr>
        <w:t>编制单位：山西农业大学</w:t>
      </w:r>
    </w:p>
    <w:p w14:paraId="28DCAA4F">
      <w:pPr>
        <w:spacing w:line="360" w:lineRule="auto"/>
        <w:jc w:val="center"/>
        <w:rPr>
          <w:b/>
          <w:kern w:val="22"/>
          <w:sz w:val="32"/>
          <w:szCs w:val="32"/>
        </w:rPr>
      </w:pPr>
    </w:p>
    <w:p w14:paraId="5E3A1FCB">
      <w:pPr>
        <w:jc w:val="center"/>
        <w:rPr>
          <w:b/>
          <w:sz w:val="32"/>
          <w:szCs w:val="32"/>
        </w:rPr>
      </w:pPr>
      <w:r>
        <w:rPr>
          <w:b/>
          <w:sz w:val="32"/>
          <w:szCs w:val="32"/>
        </w:rPr>
        <w:t xml:space="preserve"> 二〇二四年十月</w:t>
      </w:r>
    </w:p>
    <w:p w14:paraId="33B1C550">
      <w:pPr>
        <w:jc w:val="center"/>
        <w:rPr>
          <w:b/>
          <w:sz w:val="32"/>
          <w:szCs w:val="32"/>
        </w:rPr>
      </w:pPr>
    </w:p>
    <w:p w14:paraId="66F81015">
      <w:pPr>
        <w:spacing w:line="520" w:lineRule="exact"/>
        <w:jc w:val="center"/>
        <w:rPr>
          <w:b/>
          <w:sz w:val="30"/>
          <w:szCs w:val="30"/>
        </w:rPr>
      </w:pPr>
    </w:p>
    <w:p w14:paraId="74F9A225">
      <w:pPr>
        <w:widowControl/>
        <w:jc w:val="left"/>
        <w:rPr>
          <w:b/>
          <w:sz w:val="30"/>
          <w:szCs w:val="30"/>
        </w:rPr>
      </w:pPr>
      <w:r>
        <w:rPr>
          <w:b/>
          <w:sz w:val="30"/>
          <w:szCs w:val="30"/>
        </w:rPr>
        <w:br w:type="page"/>
      </w:r>
    </w:p>
    <w:p w14:paraId="4C037A11">
      <w:pPr>
        <w:spacing w:line="520" w:lineRule="exact"/>
        <w:jc w:val="center"/>
        <w:rPr>
          <w:b/>
          <w:sz w:val="32"/>
          <w:szCs w:val="32"/>
        </w:rPr>
      </w:pPr>
      <w:r>
        <w:rPr>
          <w:b/>
          <w:sz w:val="32"/>
          <w:szCs w:val="32"/>
        </w:rPr>
        <w:t>山西省地方标准</w:t>
      </w:r>
    </w:p>
    <w:p w14:paraId="20372321">
      <w:pPr>
        <w:spacing w:line="520" w:lineRule="exact"/>
        <w:jc w:val="center"/>
        <w:rPr>
          <w:b/>
          <w:sz w:val="32"/>
          <w:szCs w:val="32"/>
        </w:rPr>
      </w:pPr>
      <w:r>
        <w:rPr>
          <w:b/>
          <w:sz w:val="32"/>
          <w:szCs w:val="32"/>
        </w:rPr>
        <w:t>《黄花菜采收技术规程》</w:t>
      </w:r>
    </w:p>
    <w:p w14:paraId="4D64F0C6">
      <w:pPr>
        <w:spacing w:line="520" w:lineRule="exact"/>
        <w:jc w:val="center"/>
        <w:rPr>
          <w:b/>
          <w:sz w:val="32"/>
          <w:szCs w:val="32"/>
        </w:rPr>
      </w:pPr>
      <w:r>
        <w:rPr>
          <w:b/>
          <w:sz w:val="32"/>
          <w:szCs w:val="32"/>
        </w:rPr>
        <w:t>编制说明</w:t>
      </w:r>
    </w:p>
    <w:p w14:paraId="33D722A1">
      <w:pPr>
        <w:spacing w:line="520" w:lineRule="exact"/>
        <w:jc w:val="center"/>
        <w:rPr>
          <w:b/>
          <w:sz w:val="30"/>
          <w:szCs w:val="30"/>
        </w:rPr>
      </w:pPr>
    </w:p>
    <w:p w14:paraId="572C84F7">
      <w:pPr>
        <w:spacing w:line="600" w:lineRule="exact"/>
        <w:ind w:right="17" w:firstLine="643" w:firstLineChars="200"/>
        <w:rPr>
          <w:b/>
          <w:sz w:val="32"/>
          <w:szCs w:val="32"/>
        </w:rPr>
      </w:pPr>
      <w:r>
        <w:rPr>
          <w:b/>
          <w:sz w:val="32"/>
          <w:szCs w:val="32"/>
        </w:rPr>
        <w:t>一、工作</w:t>
      </w:r>
      <w:r>
        <w:rPr>
          <w:rFonts w:hint="eastAsia" w:ascii="宋体" w:hAnsi="宋体" w:cs="宋体"/>
          <w:b/>
          <w:sz w:val="32"/>
          <w:szCs w:val="32"/>
          <w:lang w:eastAsia="zh-CN"/>
        </w:rPr>
        <w:t>简况</w:t>
      </w:r>
    </w:p>
    <w:p w14:paraId="6638426B">
      <w:pPr>
        <w:spacing w:line="600" w:lineRule="exact"/>
        <w:ind w:right="17" w:firstLine="482" w:firstLineChars="150"/>
        <w:rPr>
          <w:rFonts w:eastAsia="楷体_GB2312"/>
          <w:b/>
          <w:sz w:val="32"/>
          <w:szCs w:val="32"/>
        </w:rPr>
      </w:pPr>
      <w:r>
        <w:rPr>
          <w:rFonts w:eastAsia="楷体_GB2312"/>
          <w:b/>
          <w:sz w:val="32"/>
          <w:szCs w:val="32"/>
        </w:rPr>
        <w:t>（一）任务来源</w:t>
      </w:r>
    </w:p>
    <w:p w14:paraId="0BF00ACC">
      <w:pPr>
        <w:spacing w:line="360" w:lineRule="auto"/>
        <w:ind w:firstLine="640" w:firstLineChars="200"/>
        <w:jc w:val="left"/>
        <w:outlineLvl w:val="1"/>
        <w:rPr>
          <w:rFonts w:eastAsia="仿宋"/>
          <w:bCs/>
          <w:sz w:val="32"/>
          <w:szCs w:val="32"/>
        </w:rPr>
      </w:pPr>
      <w:r>
        <w:rPr>
          <w:rFonts w:eastAsia="仿宋"/>
          <w:bCs/>
          <w:sz w:val="32"/>
          <w:szCs w:val="32"/>
        </w:rPr>
        <w:t>根据山西省市场监督管理局《关于下达2023年度第七批山西省地方标准制修订项目计划的通知》（晋市监函〔2023〕351号）,《黄花菜采收技术规程》被列入山西省地方标准制订计划，计划编号为2023-07283，本标准由山西省农业农村厅提出，由山西省农业标准化技术委员会（SXS/TC19）归口。</w:t>
      </w:r>
    </w:p>
    <w:p w14:paraId="26935761">
      <w:pPr>
        <w:spacing w:line="600" w:lineRule="exact"/>
        <w:ind w:right="17" w:firstLine="482" w:firstLineChars="150"/>
        <w:rPr>
          <w:rFonts w:eastAsia="楷体_GB2312"/>
          <w:b/>
          <w:sz w:val="32"/>
          <w:szCs w:val="32"/>
        </w:rPr>
      </w:pPr>
      <w:r>
        <w:rPr>
          <w:rFonts w:eastAsia="楷体_GB2312"/>
          <w:b/>
          <w:sz w:val="32"/>
          <w:szCs w:val="32"/>
        </w:rPr>
        <w:t>（</w:t>
      </w:r>
      <w:r>
        <w:rPr>
          <w:rFonts w:hint="eastAsia" w:eastAsia="楷体_GB2312"/>
          <w:b/>
          <w:sz w:val="32"/>
          <w:szCs w:val="32"/>
          <w:lang w:eastAsia="zh-CN"/>
        </w:rPr>
        <w:t>二</w:t>
      </w:r>
      <w:r>
        <w:rPr>
          <w:rFonts w:eastAsia="楷体_GB2312"/>
          <w:b/>
          <w:sz w:val="32"/>
          <w:szCs w:val="32"/>
        </w:rPr>
        <w:t>）起草单位和主要起草人</w:t>
      </w:r>
    </w:p>
    <w:p w14:paraId="5D75C0A6">
      <w:pPr>
        <w:spacing w:line="360" w:lineRule="auto"/>
        <w:ind w:firstLine="640" w:firstLineChars="200"/>
        <w:jc w:val="left"/>
        <w:outlineLvl w:val="1"/>
        <w:rPr>
          <w:rFonts w:eastAsia="仿宋"/>
          <w:bCs/>
          <w:sz w:val="32"/>
          <w:szCs w:val="32"/>
        </w:rPr>
      </w:pPr>
      <w:r>
        <w:rPr>
          <w:rFonts w:eastAsia="仿宋"/>
          <w:bCs/>
          <w:sz w:val="32"/>
          <w:szCs w:val="32"/>
        </w:rPr>
        <w:t>起草单位：山西农业大学</w:t>
      </w:r>
    </w:p>
    <w:p w14:paraId="78AF5372">
      <w:pPr>
        <w:spacing w:line="360" w:lineRule="auto"/>
        <w:ind w:firstLine="640" w:firstLineChars="200"/>
        <w:jc w:val="left"/>
        <w:outlineLvl w:val="1"/>
        <w:rPr>
          <w:rFonts w:eastAsia="仿宋"/>
          <w:bCs/>
          <w:sz w:val="32"/>
          <w:szCs w:val="32"/>
        </w:rPr>
      </w:pPr>
      <w:r>
        <w:rPr>
          <w:rFonts w:eastAsia="仿宋"/>
          <w:bCs/>
          <w:sz w:val="32"/>
          <w:szCs w:val="32"/>
        </w:rPr>
        <w:t>协作单位：湖南农业大学、天镇县博诚蔬菜有限责任公司、山西冰华食品科技有限公司</w:t>
      </w:r>
    </w:p>
    <w:p w14:paraId="44C52E01">
      <w:pPr>
        <w:spacing w:line="360" w:lineRule="auto"/>
        <w:ind w:firstLine="640" w:firstLineChars="200"/>
        <w:jc w:val="left"/>
        <w:outlineLvl w:val="1"/>
        <w:rPr>
          <w:rFonts w:eastAsia="仿宋"/>
          <w:bCs/>
          <w:sz w:val="32"/>
          <w:szCs w:val="32"/>
        </w:rPr>
      </w:pPr>
      <w:r>
        <w:rPr>
          <w:rFonts w:eastAsia="仿宋"/>
          <w:bCs/>
          <w:sz w:val="32"/>
          <w:szCs w:val="32"/>
        </w:rPr>
        <w:t>主要起草人：郭尚，南晓洁，王永刚，秦楠楠，戴润芳，倪育龙，朱敏，郭霄飞，郭伟伟，李艳婷，张雅君，温军，刘秀斌</w:t>
      </w:r>
    </w:p>
    <w:p w14:paraId="6A38A49B">
      <w:pPr>
        <w:spacing w:line="360" w:lineRule="auto"/>
        <w:ind w:firstLine="640" w:firstLineChars="200"/>
        <w:jc w:val="center"/>
        <w:outlineLvl w:val="1"/>
        <w:rPr>
          <w:rFonts w:hint="eastAsia" w:eastAsia="黑体"/>
          <w:sz w:val="32"/>
          <w:szCs w:val="32"/>
          <w:lang w:eastAsia="zh-CN"/>
        </w:rPr>
      </w:pPr>
      <w:r>
        <w:rPr>
          <w:rFonts w:eastAsia="黑体"/>
          <w:sz w:val="32"/>
          <w:szCs w:val="32"/>
        </w:rPr>
        <w:t>主要起草人信息</w:t>
      </w:r>
      <w:r>
        <w:rPr>
          <w:rFonts w:hint="eastAsia" w:eastAsia="黑体"/>
          <w:sz w:val="32"/>
          <w:szCs w:val="32"/>
          <w:lang w:eastAsia="zh-CN"/>
        </w:rPr>
        <w:t>表</w:t>
      </w:r>
    </w:p>
    <w:tbl>
      <w:tblPr>
        <w:tblStyle w:val="14"/>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09"/>
        <w:gridCol w:w="1588"/>
        <w:gridCol w:w="2976"/>
        <w:gridCol w:w="2439"/>
      </w:tblGrid>
      <w:tr w14:paraId="5A72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062953">
            <w:pPr>
              <w:spacing w:line="400" w:lineRule="exact"/>
              <w:jc w:val="center"/>
              <w:rPr>
                <w:rFonts w:eastAsia="仿宋"/>
                <w:szCs w:val="21"/>
              </w:rPr>
            </w:pPr>
            <w:r>
              <w:rPr>
                <w:rFonts w:eastAsia="仿宋"/>
                <w:szCs w:val="21"/>
              </w:rPr>
              <w:t>姓  名</w:t>
            </w:r>
          </w:p>
        </w:tc>
        <w:tc>
          <w:tcPr>
            <w:tcW w:w="709" w:type="dxa"/>
          </w:tcPr>
          <w:p w14:paraId="3D003859">
            <w:pPr>
              <w:spacing w:line="400" w:lineRule="exact"/>
              <w:jc w:val="center"/>
              <w:rPr>
                <w:rFonts w:eastAsia="仿宋"/>
                <w:szCs w:val="21"/>
              </w:rPr>
            </w:pPr>
            <w:r>
              <w:rPr>
                <w:rFonts w:eastAsia="仿宋"/>
                <w:szCs w:val="21"/>
              </w:rPr>
              <w:t>性别</w:t>
            </w:r>
          </w:p>
        </w:tc>
        <w:tc>
          <w:tcPr>
            <w:tcW w:w="1588" w:type="dxa"/>
          </w:tcPr>
          <w:p w14:paraId="3D05798F">
            <w:pPr>
              <w:spacing w:line="400" w:lineRule="exact"/>
              <w:jc w:val="center"/>
              <w:rPr>
                <w:rFonts w:eastAsia="仿宋"/>
                <w:szCs w:val="21"/>
              </w:rPr>
            </w:pPr>
            <w:r>
              <w:rPr>
                <w:rFonts w:eastAsia="仿宋"/>
                <w:szCs w:val="21"/>
              </w:rPr>
              <w:t>职务/职称</w:t>
            </w:r>
          </w:p>
        </w:tc>
        <w:tc>
          <w:tcPr>
            <w:tcW w:w="2976" w:type="dxa"/>
          </w:tcPr>
          <w:p w14:paraId="5D6AE24E">
            <w:pPr>
              <w:spacing w:line="400" w:lineRule="exact"/>
              <w:jc w:val="center"/>
              <w:rPr>
                <w:rFonts w:eastAsia="仿宋"/>
                <w:szCs w:val="21"/>
              </w:rPr>
            </w:pPr>
            <w:r>
              <w:rPr>
                <w:rFonts w:eastAsia="仿宋"/>
                <w:szCs w:val="21"/>
              </w:rPr>
              <w:t>工作单位</w:t>
            </w:r>
          </w:p>
        </w:tc>
        <w:tc>
          <w:tcPr>
            <w:tcW w:w="2439" w:type="dxa"/>
          </w:tcPr>
          <w:p w14:paraId="19D0FBDE">
            <w:pPr>
              <w:spacing w:line="400" w:lineRule="exact"/>
              <w:jc w:val="center"/>
              <w:rPr>
                <w:rFonts w:eastAsia="仿宋"/>
                <w:szCs w:val="21"/>
              </w:rPr>
            </w:pPr>
            <w:r>
              <w:rPr>
                <w:rFonts w:eastAsia="仿宋"/>
                <w:szCs w:val="21"/>
              </w:rPr>
              <w:t>任务分工</w:t>
            </w:r>
          </w:p>
        </w:tc>
      </w:tr>
      <w:tr w14:paraId="36A5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5D5AB57">
            <w:pPr>
              <w:spacing w:line="400" w:lineRule="exact"/>
              <w:jc w:val="center"/>
              <w:rPr>
                <w:rFonts w:eastAsia="仿宋"/>
                <w:szCs w:val="21"/>
              </w:rPr>
            </w:pPr>
            <w:r>
              <w:rPr>
                <w:rFonts w:eastAsia="仿宋"/>
                <w:szCs w:val="21"/>
              </w:rPr>
              <w:t>郭  尚</w:t>
            </w:r>
          </w:p>
        </w:tc>
        <w:tc>
          <w:tcPr>
            <w:tcW w:w="709" w:type="dxa"/>
            <w:vAlign w:val="center"/>
          </w:tcPr>
          <w:p w14:paraId="1EEE2B2C">
            <w:pPr>
              <w:spacing w:line="400" w:lineRule="exact"/>
              <w:jc w:val="center"/>
              <w:rPr>
                <w:rFonts w:eastAsia="仿宋"/>
                <w:szCs w:val="21"/>
              </w:rPr>
            </w:pPr>
            <w:r>
              <w:rPr>
                <w:rFonts w:eastAsia="仿宋"/>
                <w:szCs w:val="21"/>
              </w:rPr>
              <w:t>男</w:t>
            </w:r>
          </w:p>
        </w:tc>
        <w:tc>
          <w:tcPr>
            <w:tcW w:w="1588" w:type="dxa"/>
            <w:vAlign w:val="center"/>
          </w:tcPr>
          <w:p w14:paraId="5CE79CAD">
            <w:pPr>
              <w:spacing w:line="400" w:lineRule="exact"/>
              <w:jc w:val="center"/>
              <w:rPr>
                <w:rFonts w:eastAsia="仿宋"/>
                <w:szCs w:val="21"/>
              </w:rPr>
            </w:pPr>
            <w:r>
              <w:rPr>
                <w:rFonts w:eastAsia="仿宋"/>
                <w:szCs w:val="21"/>
              </w:rPr>
              <w:t>院长/研究员</w:t>
            </w:r>
          </w:p>
        </w:tc>
        <w:tc>
          <w:tcPr>
            <w:tcW w:w="2976" w:type="dxa"/>
            <w:vAlign w:val="center"/>
          </w:tcPr>
          <w:p w14:paraId="43C5C3B4">
            <w:pPr>
              <w:spacing w:line="400" w:lineRule="exact"/>
              <w:jc w:val="center"/>
              <w:rPr>
                <w:rFonts w:eastAsia="仿宋"/>
                <w:szCs w:val="21"/>
              </w:rPr>
            </w:pPr>
            <w:r>
              <w:rPr>
                <w:rFonts w:eastAsia="仿宋"/>
                <w:szCs w:val="21"/>
              </w:rPr>
              <w:t>山西农业大学/湖南农业大学</w:t>
            </w:r>
          </w:p>
        </w:tc>
        <w:tc>
          <w:tcPr>
            <w:tcW w:w="2439" w:type="dxa"/>
            <w:vAlign w:val="center"/>
          </w:tcPr>
          <w:p w14:paraId="74B519E6">
            <w:pPr>
              <w:spacing w:line="400" w:lineRule="exact"/>
              <w:jc w:val="center"/>
              <w:rPr>
                <w:rFonts w:eastAsia="仿宋"/>
                <w:szCs w:val="21"/>
              </w:rPr>
            </w:pPr>
            <w:r>
              <w:rPr>
                <w:rFonts w:eastAsia="仿宋"/>
                <w:szCs w:val="21"/>
              </w:rPr>
              <w:t>资料收集、实验安排</w:t>
            </w:r>
          </w:p>
        </w:tc>
      </w:tr>
      <w:tr w14:paraId="5FE8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C4CB81">
            <w:pPr>
              <w:spacing w:line="400" w:lineRule="exact"/>
              <w:jc w:val="center"/>
              <w:rPr>
                <w:rFonts w:eastAsia="仿宋"/>
                <w:szCs w:val="21"/>
              </w:rPr>
            </w:pPr>
            <w:r>
              <w:rPr>
                <w:rFonts w:eastAsia="仿宋"/>
                <w:szCs w:val="21"/>
              </w:rPr>
              <w:t>南晓洁</w:t>
            </w:r>
          </w:p>
        </w:tc>
        <w:tc>
          <w:tcPr>
            <w:tcW w:w="709" w:type="dxa"/>
            <w:vAlign w:val="center"/>
          </w:tcPr>
          <w:p w14:paraId="2EF0325A">
            <w:pPr>
              <w:spacing w:line="400" w:lineRule="exact"/>
              <w:jc w:val="center"/>
              <w:rPr>
                <w:rFonts w:eastAsia="仿宋"/>
                <w:szCs w:val="21"/>
              </w:rPr>
            </w:pPr>
            <w:r>
              <w:rPr>
                <w:rFonts w:eastAsia="仿宋"/>
                <w:szCs w:val="21"/>
              </w:rPr>
              <w:t>女</w:t>
            </w:r>
          </w:p>
        </w:tc>
        <w:tc>
          <w:tcPr>
            <w:tcW w:w="1588" w:type="dxa"/>
            <w:vAlign w:val="center"/>
          </w:tcPr>
          <w:p w14:paraId="151AA52A">
            <w:pPr>
              <w:spacing w:line="400" w:lineRule="exact"/>
              <w:jc w:val="center"/>
              <w:rPr>
                <w:rFonts w:eastAsia="仿宋"/>
                <w:szCs w:val="21"/>
              </w:rPr>
            </w:pPr>
            <w:r>
              <w:rPr>
                <w:rFonts w:eastAsia="仿宋"/>
                <w:szCs w:val="21"/>
              </w:rPr>
              <w:t>副研究员</w:t>
            </w:r>
          </w:p>
        </w:tc>
        <w:tc>
          <w:tcPr>
            <w:tcW w:w="2976" w:type="dxa"/>
            <w:vAlign w:val="center"/>
          </w:tcPr>
          <w:p w14:paraId="23885132">
            <w:pPr>
              <w:spacing w:line="400" w:lineRule="exact"/>
              <w:jc w:val="center"/>
              <w:rPr>
                <w:rFonts w:eastAsia="仿宋"/>
                <w:szCs w:val="21"/>
              </w:rPr>
            </w:pPr>
            <w:r>
              <w:rPr>
                <w:rFonts w:eastAsia="仿宋"/>
                <w:szCs w:val="21"/>
              </w:rPr>
              <w:t>山西农业大学</w:t>
            </w:r>
          </w:p>
        </w:tc>
        <w:tc>
          <w:tcPr>
            <w:tcW w:w="2439" w:type="dxa"/>
            <w:vAlign w:val="center"/>
          </w:tcPr>
          <w:p w14:paraId="282F7141">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标准起草、标准制定</w:t>
            </w:r>
          </w:p>
        </w:tc>
      </w:tr>
      <w:tr w14:paraId="23BC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53897D6">
            <w:pPr>
              <w:spacing w:line="400" w:lineRule="exact"/>
              <w:jc w:val="center"/>
              <w:rPr>
                <w:rFonts w:eastAsia="仿宋"/>
                <w:szCs w:val="21"/>
              </w:rPr>
            </w:pPr>
            <w:r>
              <w:rPr>
                <w:rFonts w:eastAsia="仿宋"/>
                <w:szCs w:val="21"/>
              </w:rPr>
              <w:t>王永刚</w:t>
            </w:r>
          </w:p>
        </w:tc>
        <w:tc>
          <w:tcPr>
            <w:tcW w:w="709" w:type="dxa"/>
            <w:vAlign w:val="center"/>
          </w:tcPr>
          <w:p w14:paraId="094A92A6">
            <w:pPr>
              <w:spacing w:line="400" w:lineRule="exact"/>
              <w:jc w:val="center"/>
              <w:rPr>
                <w:rFonts w:eastAsia="仿宋"/>
                <w:szCs w:val="21"/>
              </w:rPr>
            </w:pPr>
            <w:r>
              <w:rPr>
                <w:rFonts w:eastAsia="仿宋"/>
                <w:szCs w:val="21"/>
              </w:rPr>
              <w:t>男</w:t>
            </w:r>
          </w:p>
        </w:tc>
        <w:tc>
          <w:tcPr>
            <w:tcW w:w="1588" w:type="dxa"/>
            <w:vAlign w:val="center"/>
          </w:tcPr>
          <w:p w14:paraId="28C97BDC">
            <w:pPr>
              <w:spacing w:line="400" w:lineRule="exact"/>
              <w:jc w:val="center"/>
              <w:rPr>
                <w:rFonts w:eastAsia="仿宋"/>
                <w:szCs w:val="21"/>
              </w:rPr>
            </w:pPr>
            <w:r>
              <w:rPr>
                <w:rFonts w:eastAsia="仿宋"/>
                <w:szCs w:val="21"/>
              </w:rPr>
              <w:t>高级农艺师</w:t>
            </w:r>
          </w:p>
        </w:tc>
        <w:tc>
          <w:tcPr>
            <w:tcW w:w="2976" w:type="dxa"/>
            <w:vAlign w:val="center"/>
          </w:tcPr>
          <w:p w14:paraId="3984E9B1">
            <w:pPr>
              <w:spacing w:line="400" w:lineRule="exact"/>
              <w:jc w:val="center"/>
              <w:rPr>
                <w:rFonts w:eastAsia="仿宋"/>
                <w:szCs w:val="21"/>
              </w:rPr>
            </w:pPr>
            <w:r>
              <w:rPr>
                <w:rFonts w:eastAsia="仿宋"/>
                <w:szCs w:val="21"/>
              </w:rPr>
              <w:t>大同市农业农村局</w:t>
            </w:r>
          </w:p>
        </w:tc>
        <w:tc>
          <w:tcPr>
            <w:tcW w:w="2439" w:type="dxa"/>
            <w:vAlign w:val="center"/>
          </w:tcPr>
          <w:p w14:paraId="3A9F8EE7">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调研考察、资料收集</w:t>
            </w:r>
          </w:p>
        </w:tc>
      </w:tr>
      <w:tr w14:paraId="07663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CC6C9F0">
            <w:pPr>
              <w:spacing w:line="400" w:lineRule="exact"/>
              <w:jc w:val="center"/>
              <w:rPr>
                <w:rFonts w:eastAsia="仿宋"/>
                <w:szCs w:val="21"/>
              </w:rPr>
            </w:pPr>
            <w:r>
              <w:rPr>
                <w:rFonts w:eastAsia="仿宋"/>
                <w:szCs w:val="21"/>
              </w:rPr>
              <w:t>秦楠楠</w:t>
            </w:r>
          </w:p>
        </w:tc>
        <w:tc>
          <w:tcPr>
            <w:tcW w:w="709" w:type="dxa"/>
            <w:vAlign w:val="center"/>
          </w:tcPr>
          <w:p w14:paraId="4779EB81">
            <w:pPr>
              <w:spacing w:line="400" w:lineRule="exact"/>
              <w:jc w:val="center"/>
              <w:rPr>
                <w:rFonts w:eastAsia="仿宋"/>
                <w:szCs w:val="21"/>
              </w:rPr>
            </w:pPr>
            <w:r>
              <w:rPr>
                <w:rFonts w:eastAsia="仿宋"/>
                <w:szCs w:val="21"/>
              </w:rPr>
              <w:t>女</w:t>
            </w:r>
          </w:p>
        </w:tc>
        <w:tc>
          <w:tcPr>
            <w:tcW w:w="1588" w:type="dxa"/>
            <w:vAlign w:val="center"/>
          </w:tcPr>
          <w:p w14:paraId="07E879B0">
            <w:pPr>
              <w:spacing w:line="400" w:lineRule="exact"/>
              <w:jc w:val="center"/>
              <w:rPr>
                <w:rFonts w:eastAsia="仿宋"/>
                <w:szCs w:val="21"/>
              </w:rPr>
            </w:pPr>
            <w:r>
              <w:rPr>
                <w:rFonts w:eastAsia="仿宋"/>
                <w:szCs w:val="21"/>
              </w:rPr>
              <w:t>助理研究员</w:t>
            </w:r>
          </w:p>
        </w:tc>
        <w:tc>
          <w:tcPr>
            <w:tcW w:w="2976" w:type="dxa"/>
            <w:vAlign w:val="center"/>
          </w:tcPr>
          <w:p w14:paraId="59D658C3">
            <w:pPr>
              <w:spacing w:line="400" w:lineRule="exact"/>
              <w:jc w:val="center"/>
              <w:rPr>
                <w:rFonts w:eastAsia="仿宋"/>
                <w:szCs w:val="21"/>
              </w:rPr>
            </w:pPr>
            <w:r>
              <w:rPr>
                <w:rFonts w:eastAsia="仿宋"/>
                <w:szCs w:val="21"/>
              </w:rPr>
              <w:t>山西农业大学</w:t>
            </w:r>
          </w:p>
        </w:tc>
        <w:tc>
          <w:tcPr>
            <w:tcW w:w="2439" w:type="dxa"/>
            <w:vAlign w:val="center"/>
          </w:tcPr>
          <w:p w14:paraId="1BDBFE3D">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基础试验、标准起草</w:t>
            </w:r>
          </w:p>
        </w:tc>
      </w:tr>
      <w:tr w14:paraId="1CFD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C31527C">
            <w:pPr>
              <w:spacing w:line="400" w:lineRule="exact"/>
              <w:jc w:val="center"/>
              <w:rPr>
                <w:rFonts w:eastAsia="仿宋"/>
                <w:szCs w:val="21"/>
              </w:rPr>
            </w:pPr>
            <w:r>
              <w:rPr>
                <w:rFonts w:eastAsia="仿宋"/>
                <w:szCs w:val="21"/>
              </w:rPr>
              <w:t>戴润芳</w:t>
            </w:r>
          </w:p>
        </w:tc>
        <w:tc>
          <w:tcPr>
            <w:tcW w:w="709" w:type="dxa"/>
            <w:vAlign w:val="center"/>
          </w:tcPr>
          <w:p w14:paraId="6B1013F3">
            <w:pPr>
              <w:spacing w:line="400" w:lineRule="exact"/>
              <w:jc w:val="center"/>
              <w:rPr>
                <w:rFonts w:eastAsia="仿宋"/>
                <w:szCs w:val="21"/>
              </w:rPr>
            </w:pPr>
            <w:r>
              <w:rPr>
                <w:rFonts w:eastAsia="仿宋"/>
                <w:szCs w:val="21"/>
              </w:rPr>
              <w:t>女</w:t>
            </w:r>
          </w:p>
        </w:tc>
        <w:tc>
          <w:tcPr>
            <w:tcW w:w="1588" w:type="dxa"/>
            <w:vAlign w:val="center"/>
          </w:tcPr>
          <w:p w14:paraId="55FB5EF8">
            <w:pPr>
              <w:spacing w:line="400" w:lineRule="exact"/>
              <w:jc w:val="center"/>
              <w:rPr>
                <w:rFonts w:eastAsia="仿宋"/>
                <w:szCs w:val="21"/>
              </w:rPr>
            </w:pPr>
            <w:r>
              <w:rPr>
                <w:rFonts w:eastAsia="仿宋"/>
                <w:szCs w:val="21"/>
              </w:rPr>
              <w:t>高级农艺师</w:t>
            </w:r>
          </w:p>
        </w:tc>
        <w:tc>
          <w:tcPr>
            <w:tcW w:w="2976" w:type="dxa"/>
            <w:vAlign w:val="center"/>
          </w:tcPr>
          <w:p w14:paraId="5F218F5D">
            <w:pPr>
              <w:spacing w:line="400" w:lineRule="exact"/>
              <w:jc w:val="center"/>
              <w:rPr>
                <w:rFonts w:eastAsia="仿宋"/>
                <w:szCs w:val="21"/>
              </w:rPr>
            </w:pPr>
            <w:r>
              <w:rPr>
                <w:rFonts w:eastAsia="仿宋"/>
                <w:szCs w:val="21"/>
              </w:rPr>
              <w:t>山西省农产品质量安全中心</w:t>
            </w:r>
          </w:p>
        </w:tc>
        <w:tc>
          <w:tcPr>
            <w:tcW w:w="2439" w:type="dxa"/>
            <w:vAlign w:val="center"/>
          </w:tcPr>
          <w:p w14:paraId="269BAE38">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调研考察、意见汇总</w:t>
            </w:r>
          </w:p>
        </w:tc>
      </w:tr>
      <w:tr w14:paraId="159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8DF0904">
            <w:pPr>
              <w:spacing w:line="400" w:lineRule="exact"/>
              <w:jc w:val="center"/>
              <w:rPr>
                <w:rFonts w:eastAsia="仿宋"/>
                <w:szCs w:val="21"/>
              </w:rPr>
            </w:pPr>
            <w:r>
              <w:rPr>
                <w:rFonts w:eastAsia="仿宋"/>
                <w:szCs w:val="21"/>
              </w:rPr>
              <w:t>倪育龙</w:t>
            </w:r>
          </w:p>
        </w:tc>
        <w:tc>
          <w:tcPr>
            <w:tcW w:w="709" w:type="dxa"/>
            <w:vAlign w:val="center"/>
          </w:tcPr>
          <w:p w14:paraId="3995A0C9">
            <w:pPr>
              <w:spacing w:line="400" w:lineRule="exact"/>
              <w:jc w:val="center"/>
              <w:rPr>
                <w:rFonts w:eastAsia="仿宋"/>
                <w:szCs w:val="21"/>
              </w:rPr>
            </w:pPr>
            <w:r>
              <w:rPr>
                <w:rFonts w:eastAsia="仿宋"/>
                <w:szCs w:val="21"/>
              </w:rPr>
              <w:t>男</w:t>
            </w:r>
          </w:p>
        </w:tc>
        <w:tc>
          <w:tcPr>
            <w:tcW w:w="1588" w:type="dxa"/>
            <w:vAlign w:val="center"/>
          </w:tcPr>
          <w:p w14:paraId="1A2937CE">
            <w:pPr>
              <w:spacing w:line="400" w:lineRule="exact"/>
              <w:jc w:val="center"/>
              <w:rPr>
                <w:rFonts w:eastAsia="仿宋"/>
                <w:szCs w:val="21"/>
              </w:rPr>
            </w:pPr>
            <w:r>
              <w:rPr>
                <w:rFonts w:eastAsia="仿宋"/>
                <w:szCs w:val="21"/>
              </w:rPr>
              <w:t>工程师</w:t>
            </w:r>
          </w:p>
        </w:tc>
        <w:tc>
          <w:tcPr>
            <w:tcW w:w="2976" w:type="dxa"/>
            <w:vAlign w:val="center"/>
          </w:tcPr>
          <w:p w14:paraId="43410296">
            <w:pPr>
              <w:spacing w:line="400" w:lineRule="exact"/>
              <w:jc w:val="center"/>
              <w:rPr>
                <w:rFonts w:eastAsia="仿宋"/>
                <w:szCs w:val="21"/>
              </w:rPr>
            </w:pPr>
            <w:r>
              <w:rPr>
                <w:rFonts w:eastAsia="仿宋"/>
                <w:szCs w:val="21"/>
              </w:rPr>
              <w:t>山西冰华食品科技有限公司</w:t>
            </w:r>
          </w:p>
        </w:tc>
        <w:tc>
          <w:tcPr>
            <w:tcW w:w="2439" w:type="dxa"/>
            <w:vAlign w:val="center"/>
          </w:tcPr>
          <w:p w14:paraId="783BC85B">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调研考察、意见汇总</w:t>
            </w:r>
          </w:p>
        </w:tc>
      </w:tr>
      <w:tr w14:paraId="3E99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01E96D7">
            <w:pPr>
              <w:spacing w:line="400" w:lineRule="exact"/>
              <w:jc w:val="center"/>
              <w:rPr>
                <w:rFonts w:eastAsia="仿宋"/>
                <w:szCs w:val="21"/>
              </w:rPr>
            </w:pPr>
            <w:r>
              <w:rPr>
                <w:rFonts w:eastAsia="仿宋"/>
                <w:szCs w:val="21"/>
              </w:rPr>
              <w:t>朱  敏</w:t>
            </w:r>
          </w:p>
        </w:tc>
        <w:tc>
          <w:tcPr>
            <w:tcW w:w="709" w:type="dxa"/>
            <w:vAlign w:val="center"/>
          </w:tcPr>
          <w:p w14:paraId="14BFAF67">
            <w:pPr>
              <w:spacing w:line="400" w:lineRule="exact"/>
              <w:jc w:val="center"/>
              <w:rPr>
                <w:rFonts w:eastAsia="仿宋"/>
                <w:szCs w:val="21"/>
              </w:rPr>
            </w:pPr>
            <w:r>
              <w:rPr>
                <w:rFonts w:eastAsia="仿宋"/>
                <w:szCs w:val="21"/>
              </w:rPr>
              <w:t>女</w:t>
            </w:r>
          </w:p>
        </w:tc>
        <w:tc>
          <w:tcPr>
            <w:tcW w:w="1588" w:type="dxa"/>
            <w:vAlign w:val="center"/>
          </w:tcPr>
          <w:p w14:paraId="1A01FEF9">
            <w:pPr>
              <w:spacing w:line="400" w:lineRule="exact"/>
              <w:jc w:val="center"/>
              <w:rPr>
                <w:rFonts w:eastAsia="仿宋"/>
                <w:szCs w:val="21"/>
              </w:rPr>
            </w:pPr>
            <w:r>
              <w:rPr>
                <w:rFonts w:eastAsia="仿宋"/>
                <w:szCs w:val="21"/>
              </w:rPr>
              <w:t>助理研究员</w:t>
            </w:r>
          </w:p>
        </w:tc>
        <w:tc>
          <w:tcPr>
            <w:tcW w:w="2976" w:type="dxa"/>
            <w:vAlign w:val="center"/>
          </w:tcPr>
          <w:p w14:paraId="0B35C810">
            <w:pPr>
              <w:spacing w:line="400" w:lineRule="exact"/>
              <w:jc w:val="center"/>
              <w:rPr>
                <w:rFonts w:eastAsia="仿宋"/>
                <w:szCs w:val="21"/>
              </w:rPr>
            </w:pPr>
            <w:r>
              <w:rPr>
                <w:rFonts w:eastAsia="仿宋"/>
                <w:szCs w:val="21"/>
              </w:rPr>
              <w:t>山西农业大学</w:t>
            </w:r>
          </w:p>
        </w:tc>
        <w:tc>
          <w:tcPr>
            <w:tcW w:w="2439" w:type="dxa"/>
            <w:vAlign w:val="center"/>
          </w:tcPr>
          <w:p w14:paraId="14985FE7">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资料收集、标准起草</w:t>
            </w:r>
          </w:p>
        </w:tc>
      </w:tr>
      <w:tr w14:paraId="732C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DD85868">
            <w:pPr>
              <w:spacing w:line="400" w:lineRule="exact"/>
              <w:jc w:val="center"/>
              <w:rPr>
                <w:rFonts w:eastAsia="仿宋"/>
                <w:szCs w:val="21"/>
              </w:rPr>
            </w:pPr>
            <w:r>
              <w:rPr>
                <w:rFonts w:eastAsia="仿宋"/>
                <w:szCs w:val="21"/>
              </w:rPr>
              <w:t>郭霄飞</w:t>
            </w:r>
          </w:p>
        </w:tc>
        <w:tc>
          <w:tcPr>
            <w:tcW w:w="709" w:type="dxa"/>
            <w:vAlign w:val="center"/>
          </w:tcPr>
          <w:p w14:paraId="6C4D75C4">
            <w:pPr>
              <w:spacing w:line="400" w:lineRule="exact"/>
              <w:jc w:val="center"/>
              <w:rPr>
                <w:rFonts w:eastAsia="仿宋"/>
                <w:szCs w:val="21"/>
              </w:rPr>
            </w:pPr>
            <w:r>
              <w:rPr>
                <w:rFonts w:eastAsia="仿宋"/>
                <w:szCs w:val="21"/>
              </w:rPr>
              <w:t>男</w:t>
            </w:r>
          </w:p>
        </w:tc>
        <w:tc>
          <w:tcPr>
            <w:tcW w:w="1588" w:type="dxa"/>
            <w:vAlign w:val="center"/>
          </w:tcPr>
          <w:p w14:paraId="4A208499">
            <w:pPr>
              <w:spacing w:line="400" w:lineRule="exact"/>
              <w:jc w:val="center"/>
              <w:rPr>
                <w:rFonts w:eastAsia="仿宋"/>
                <w:szCs w:val="21"/>
              </w:rPr>
            </w:pPr>
            <w:r>
              <w:rPr>
                <w:rFonts w:eastAsia="仿宋"/>
                <w:szCs w:val="21"/>
              </w:rPr>
              <w:t>助理研究员</w:t>
            </w:r>
          </w:p>
        </w:tc>
        <w:tc>
          <w:tcPr>
            <w:tcW w:w="2976" w:type="dxa"/>
            <w:vAlign w:val="center"/>
          </w:tcPr>
          <w:p w14:paraId="24C7799D">
            <w:pPr>
              <w:spacing w:line="400" w:lineRule="exact"/>
              <w:jc w:val="center"/>
              <w:rPr>
                <w:rFonts w:eastAsia="仿宋"/>
                <w:szCs w:val="21"/>
              </w:rPr>
            </w:pPr>
            <w:r>
              <w:rPr>
                <w:rFonts w:eastAsia="仿宋"/>
                <w:szCs w:val="21"/>
              </w:rPr>
              <w:t>山西农业大学</w:t>
            </w:r>
          </w:p>
        </w:tc>
        <w:tc>
          <w:tcPr>
            <w:tcW w:w="2439" w:type="dxa"/>
            <w:vAlign w:val="center"/>
          </w:tcPr>
          <w:p w14:paraId="2AEC4AA2">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基础试验、数据统计</w:t>
            </w:r>
          </w:p>
        </w:tc>
      </w:tr>
      <w:tr w14:paraId="5968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A92D0A9">
            <w:pPr>
              <w:spacing w:line="400" w:lineRule="exact"/>
              <w:jc w:val="center"/>
              <w:rPr>
                <w:rFonts w:eastAsia="仿宋"/>
                <w:szCs w:val="21"/>
              </w:rPr>
            </w:pPr>
            <w:r>
              <w:rPr>
                <w:rFonts w:eastAsia="仿宋"/>
                <w:szCs w:val="21"/>
              </w:rPr>
              <w:t>郭伟伟</w:t>
            </w:r>
          </w:p>
        </w:tc>
        <w:tc>
          <w:tcPr>
            <w:tcW w:w="709" w:type="dxa"/>
            <w:vAlign w:val="center"/>
          </w:tcPr>
          <w:p w14:paraId="16DD41E3">
            <w:pPr>
              <w:spacing w:line="400" w:lineRule="exact"/>
              <w:jc w:val="center"/>
              <w:rPr>
                <w:rFonts w:eastAsia="仿宋"/>
                <w:szCs w:val="21"/>
              </w:rPr>
            </w:pPr>
            <w:r>
              <w:rPr>
                <w:rFonts w:eastAsia="仿宋"/>
                <w:szCs w:val="21"/>
              </w:rPr>
              <w:t>男</w:t>
            </w:r>
          </w:p>
        </w:tc>
        <w:tc>
          <w:tcPr>
            <w:tcW w:w="1588" w:type="dxa"/>
            <w:vAlign w:val="center"/>
          </w:tcPr>
          <w:p w14:paraId="520ADDAF">
            <w:pPr>
              <w:spacing w:line="400" w:lineRule="exact"/>
              <w:jc w:val="center"/>
              <w:rPr>
                <w:rFonts w:eastAsia="仿宋"/>
                <w:szCs w:val="21"/>
              </w:rPr>
            </w:pPr>
            <w:r>
              <w:rPr>
                <w:rFonts w:eastAsia="仿宋"/>
                <w:szCs w:val="21"/>
              </w:rPr>
              <w:t>助理研究员</w:t>
            </w:r>
          </w:p>
        </w:tc>
        <w:tc>
          <w:tcPr>
            <w:tcW w:w="2976" w:type="dxa"/>
            <w:vAlign w:val="center"/>
          </w:tcPr>
          <w:p w14:paraId="74C1E512">
            <w:pPr>
              <w:spacing w:line="400" w:lineRule="exact"/>
              <w:jc w:val="center"/>
              <w:rPr>
                <w:rFonts w:eastAsia="仿宋"/>
                <w:szCs w:val="21"/>
              </w:rPr>
            </w:pPr>
            <w:r>
              <w:rPr>
                <w:rFonts w:eastAsia="仿宋"/>
                <w:szCs w:val="21"/>
              </w:rPr>
              <w:t>山西农业大学</w:t>
            </w:r>
          </w:p>
        </w:tc>
        <w:tc>
          <w:tcPr>
            <w:tcW w:w="2439" w:type="dxa"/>
            <w:vAlign w:val="center"/>
          </w:tcPr>
          <w:p w14:paraId="17387975">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资料收集、标准起草</w:t>
            </w:r>
          </w:p>
        </w:tc>
      </w:tr>
      <w:tr w14:paraId="4792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56DAFE9">
            <w:pPr>
              <w:spacing w:line="400" w:lineRule="exact"/>
              <w:jc w:val="center"/>
              <w:rPr>
                <w:rFonts w:eastAsia="仿宋"/>
                <w:szCs w:val="21"/>
              </w:rPr>
            </w:pPr>
            <w:r>
              <w:rPr>
                <w:rFonts w:eastAsia="仿宋"/>
                <w:szCs w:val="21"/>
              </w:rPr>
              <w:t>李艳婷</w:t>
            </w:r>
          </w:p>
        </w:tc>
        <w:tc>
          <w:tcPr>
            <w:tcW w:w="709" w:type="dxa"/>
            <w:vAlign w:val="center"/>
          </w:tcPr>
          <w:p w14:paraId="77F1DBF3">
            <w:pPr>
              <w:spacing w:line="400" w:lineRule="exact"/>
              <w:jc w:val="center"/>
              <w:rPr>
                <w:rFonts w:eastAsia="仿宋"/>
                <w:szCs w:val="21"/>
              </w:rPr>
            </w:pPr>
            <w:r>
              <w:rPr>
                <w:rFonts w:eastAsia="仿宋"/>
                <w:szCs w:val="21"/>
              </w:rPr>
              <w:t>女</w:t>
            </w:r>
          </w:p>
        </w:tc>
        <w:tc>
          <w:tcPr>
            <w:tcW w:w="1588" w:type="dxa"/>
            <w:vAlign w:val="center"/>
          </w:tcPr>
          <w:p w14:paraId="3D3DA6CE">
            <w:pPr>
              <w:spacing w:line="400" w:lineRule="exact"/>
              <w:jc w:val="center"/>
              <w:rPr>
                <w:rFonts w:eastAsia="仿宋"/>
                <w:szCs w:val="21"/>
              </w:rPr>
            </w:pPr>
            <w:r>
              <w:rPr>
                <w:rFonts w:eastAsia="仿宋"/>
                <w:szCs w:val="21"/>
              </w:rPr>
              <w:t>副研究员</w:t>
            </w:r>
          </w:p>
        </w:tc>
        <w:tc>
          <w:tcPr>
            <w:tcW w:w="2976" w:type="dxa"/>
            <w:vAlign w:val="center"/>
          </w:tcPr>
          <w:p w14:paraId="5A5AC4E9">
            <w:pPr>
              <w:spacing w:line="400" w:lineRule="exact"/>
              <w:jc w:val="center"/>
              <w:rPr>
                <w:rFonts w:eastAsia="仿宋"/>
                <w:szCs w:val="21"/>
              </w:rPr>
            </w:pPr>
            <w:r>
              <w:rPr>
                <w:rFonts w:eastAsia="仿宋"/>
                <w:szCs w:val="21"/>
              </w:rPr>
              <w:t>山西农业大学</w:t>
            </w:r>
          </w:p>
        </w:tc>
        <w:tc>
          <w:tcPr>
            <w:tcW w:w="2439" w:type="dxa"/>
            <w:vAlign w:val="center"/>
          </w:tcPr>
          <w:p w14:paraId="6DFF2A50">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基础试验、数据统计</w:t>
            </w:r>
          </w:p>
        </w:tc>
      </w:tr>
      <w:tr w14:paraId="308A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E8DB482">
            <w:pPr>
              <w:spacing w:line="400" w:lineRule="exact"/>
              <w:jc w:val="center"/>
              <w:rPr>
                <w:rFonts w:eastAsia="仿宋"/>
                <w:szCs w:val="21"/>
              </w:rPr>
            </w:pPr>
            <w:r>
              <w:rPr>
                <w:rFonts w:eastAsia="仿宋"/>
                <w:szCs w:val="21"/>
              </w:rPr>
              <w:t>张雅君</w:t>
            </w:r>
          </w:p>
        </w:tc>
        <w:tc>
          <w:tcPr>
            <w:tcW w:w="709" w:type="dxa"/>
            <w:vAlign w:val="center"/>
          </w:tcPr>
          <w:p w14:paraId="7007A12F">
            <w:pPr>
              <w:spacing w:line="400" w:lineRule="exact"/>
              <w:jc w:val="center"/>
              <w:rPr>
                <w:rFonts w:eastAsia="仿宋"/>
                <w:szCs w:val="21"/>
              </w:rPr>
            </w:pPr>
            <w:r>
              <w:rPr>
                <w:rFonts w:eastAsia="仿宋"/>
                <w:szCs w:val="21"/>
              </w:rPr>
              <w:t>女</w:t>
            </w:r>
          </w:p>
        </w:tc>
        <w:tc>
          <w:tcPr>
            <w:tcW w:w="1588" w:type="dxa"/>
            <w:vAlign w:val="center"/>
          </w:tcPr>
          <w:p w14:paraId="5A381995">
            <w:pPr>
              <w:spacing w:line="400" w:lineRule="exact"/>
              <w:jc w:val="center"/>
              <w:rPr>
                <w:rFonts w:eastAsia="仿宋"/>
                <w:szCs w:val="21"/>
              </w:rPr>
            </w:pPr>
            <w:r>
              <w:rPr>
                <w:rFonts w:eastAsia="仿宋"/>
                <w:szCs w:val="21"/>
              </w:rPr>
              <w:t>助理研究员</w:t>
            </w:r>
          </w:p>
        </w:tc>
        <w:tc>
          <w:tcPr>
            <w:tcW w:w="2976" w:type="dxa"/>
            <w:vAlign w:val="center"/>
          </w:tcPr>
          <w:p w14:paraId="1A427136">
            <w:pPr>
              <w:spacing w:line="400" w:lineRule="exact"/>
              <w:jc w:val="center"/>
              <w:rPr>
                <w:rFonts w:eastAsia="仿宋"/>
                <w:szCs w:val="21"/>
              </w:rPr>
            </w:pPr>
            <w:r>
              <w:rPr>
                <w:rFonts w:eastAsia="仿宋"/>
                <w:szCs w:val="21"/>
              </w:rPr>
              <w:t>山西农业大学</w:t>
            </w:r>
          </w:p>
        </w:tc>
        <w:tc>
          <w:tcPr>
            <w:tcW w:w="2439" w:type="dxa"/>
            <w:vAlign w:val="center"/>
          </w:tcPr>
          <w:p w14:paraId="1D208B3E">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基础试验、标准起草</w:t>
            </w:r>
          </w:p>
        </w:tc>
      </w:tr>
      <w:tr w14:paraId="0814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50E19DC">
            <w:pPr>
              <w:spacing w:line="400" w:lineRule="exact"/>
              <w:jc w:val="center"/>
              <w:rPr>
                <w:rFonts w:eastAsia="仿宋"/>
                <w:szCs w:val="21"/>
              </w:rPr>
            </w:pPr>
            <w:r>
              <w:rPr>
                <w:rFonts w:eastAsia="仿宋"/>
                <w:szCs w:val="21"/>
              </w:rPr>
              <w:t>温  军</w:t>
            </w:r>
          </w:p>
        </w:tc>
        <w:tc>
          <w:tcPr>
            <w:tcW w:w="709" w:type="dxa"/>
            <w:vAlign w:val="center"/>
          </w:tcPr>
          <w:p w14:paraId="5701DAC2">
            <w:pPr>
              <w:spacing w:line="400" w:lineRule="exact"/>
              <w:jc w:val="center"/>
              <w:rPr>
                <w:rFonts w:eastAsia="仿宋"/>
                <w:szCs w:val="21"/>
              </w:rPr>
            </w:pPr>
            <w:r>
              <w:rPr>
                <w:rFonts w:eastAsia="仿宋"/>
                <w:szCs w:val="21"/>
              </w:rPr>
              <w:t>男</w:t>
            </w:r>
          </w:p>
        </w:tc>
        <w:tc>
          <w:tcPr>
            <w:tcW w:w="1588" w:type="dxa"/>
            <w:vAlign w:val="center"/>
          </w:tcPr>
          <w:p w14:paraId="1A852398">
            <w:pPr>
              <w:spacing w:line="400" w:lineRule="exact"/>
              <w:jc w:val="center"/>
              <w:rPr>
                <w:rFonts w:eastAsia="仿宋"/>
                <w:szCs w:val="21"/>
              </w:rPr>
            </w:pPr>
            <w:r>
              <w:rPr>
                <w:rFonts w:eastAsia="仿宋"/>
                <w:szCs w:val="21"/>
              </w:rPr>
              <w:t>总经理</w:t>
            </w:r>
          </w:p>
        </w:tc>
        <w:tc>
          <w:tcPr>
            <w:tcW w:w="2976" w:type="dxa"/>
            <w:vAlign w:val="center"/>
          </w:tcPr>
          <w:p w14:paraId="135C11DF">
            <w:pPr>
              <w:spacing w:line="400" w:lineRule="exact"/>
              <w:jc w:val="center"/>
              <w:rPr>
                <w:rFonts w:eastAsia="仿宋"/>
                <w:szCs w:val="21"/>
              </w:rPr>
            </w:pPr>
            <w:r>
              <w:rPr>
                <w:rFonts w:eastAsia="仿宋"/>
                <w:szCs w:val="21"/>
              </w:rPr>
              <w:t>天镇县博诚蔬菜有限责任公司</w:t>
            </w:r>
          </w:p>
        </w:tc>
        <w:tc>
          <w:tcPr>
            <w:tcW w:w="2439" w:type="dxa"/>
            <w:vAlign w:val="center"/>
          </w:tcPr>
          <w:p w14:paraId="43EBEF21">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调研考察、资料收集</w:t>
            </w:r>
          </w:p>
        </w:tc>
      </w:tr>
      <w:tr w14:paraId="3A15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F84BB5F">
            <w:pPr>
              <w:spacing w:line="400" w:lineRule="exact"/>
              <w:jc w:val="center"/>
              <w:rPr>
                <w:rFonts w:eastAsia="仿宋"/>
                <w:szCs w:val="21"/>
              </w:rPr>
            </w:pPr>
            <w:r>
              <w:rPr>
                <w:rFonts w:eastAsia="仿宋"/>
                <w:szCs w:val="21"/>
              </w:rPr>
              <w:t>刘秀斌</w:t>
            </w:r>
          </w:p>
        </w:tc>
        <w:tc>
          <w:tcPr>
            <w:tcW w:w="709" w:type="dxa"/>
            <w:vAlign w:val="center"/>
          </w:tcPr>
          <w:p w14:paraId="08147C96">
            <w:pPr>
              <w:spacing w:line="400" w:lineRule="exact"/>
              <w:jc w:val="center"/>
              <w:rPr>
                <w:rFonts w:eastAsia="仿宋"/>
                <w:szCs w:val="21"/>
              </w:rPr>
            </w:pPr>
            <w:r>
              <w:rPr>
                <w:rFonts w:eastAsia="仿宋"/>
                <w:szCs w:val="21"/>
              </w:rPr>
              <w:t>男</w:t>
            </w:r>
          </w:p>
        </w:tc>
        <w:tc>
          <w:tcPr>
            <w:tcW w:w="1588" w:type="dxa"/>
            <w:vAlign w:val="center"/>
          </w:tcPr>
          <w:p w14:paraId="1AF3DC7D">
            <w:pPr>
              <w:spacing w:line="400" w:lineRule="exact"/>
              <w:jc w:val="center"/>
              <w:rPr>
                <w:rFonts w:eastAsia="仿宋"/>
                <w:szCs w:val="21"/>
              </w:rPr>
            </w:pPr>
            <w:r>
              <w:rPr>
                <w:rFonts w:eastAsia="仿宋"/>
                <w:szCs w:val="21"/>
              </w:rPr>
              <w:t>副教授</w:t>
            </w:r>
          </w:p>
        </w:tc>
        <w:tc>
          <w:tcPr>
            <w:tcW w:w="2976" w:type="dxa"/>
            <w:vAlign w:val="center"/>
          </w:tcPr>
          <w:p w14:paraId="715DE30A">
            <w:pPr>
              <w:spacing w:line="400" w:lineRule="exact"/>
              <w:jc w:val="center"/>
              <w:rPr>
                <w:rFonts w:eastAsia="仿宋"/>
                <w:szCs w:val="21"/>
              </w:rPr>
            </w:pPr>
            <w:r>
              <w:rPr>
                <w:rFonts w:eastAsia="仿宋"/>
                <w:szCs w:val="21"/>
              </w:rPr>
              <w:t>湖南农业大学</w:t>
            </w:r>
          </w:p>
        </w:tc>
        <w:tc>
          <w:tcPr>
            <w:tcW w:w="2439" w:type="dxa"/>
            <w:vAlign w:val="center"/>
          </w:tcPr>
          <w:p w14:paraId="7FBB94AF">
            <w:pPr>
              <w:pStyle w:val="12"/>
              <w:widowControl w:val="0"/>
              <w:autoSpaceDE w:val="0"/>
              <w:autoSpaceDN w:val="0"/>
              <w:spacing w:beforeAutospacing="0" w:afterAutospacing="0" w:line="400" w:lineRule="exact"/>
              <w:jc w:val="center"/>
              <w:rPr>
                <w:rFonts w:ascii="Times New Roman" w:hAnsi="Times New Roman" w:eastAsia="仿宋"/>
                <w:kern w:val="2"/>
                <w:sz w:val="21"/>
                <w:szCs w:val="21"/>
              </w:rPr>
            </w:pPr>
            <w:r>
              <w:rPr>
                <w:rFonts w:ascii="Times New Roman" w:hAnsi="Times New Roman" w:eastAsia="仿宋"/>
                <w:kern w:val="2"/>
                <w:sz w:val="21"/>
                <w:szCs w:val="21"/>
              </w:rPr>
              <w:t>基础试验、标准起草</w:t>
            </w:r>
          </w:p>
        </w:tc>
      </w:tr>
    </w:tbl>
    <w:p w14:paraId="4FDD2455">
      <w:pPr>
        <w:spacing w:line="360" w:lineRule="auto"/>
        <w:jc w:val="left"/>
        <w:outlineLvl w:val="1"/>
        <w:rPr>
          <w:rFonts w:eastAsia="仿宋"/>
          <w:bCs/>
          <w:sz w:val="32"/>
          <w:szCs w:val="32"/>
        </w:rPr>
      </w:pPr>
    </w:p>
    <w:p w14:paraId="26B685DE">
      <w:pPr>
        <w:numPr>
          <w:ilvl w:val="0"/>
          <w:numId w:val="3"/>
        </w:numPr>
        <w:spacing w:line="360" w:lineRule="auto"/>
        <w:ind w:firstLine="630" w:firstLineChars="196"/>
        <w:rPr>
          <w:rFonts w:hint="eastAsia" w:ascii="宋体" w:hAnsi="宋体"/>
          <w:b/>
          <w:sz w:val="32"/>
          <w:szCs w:val="32"/>
          <w:lang w:eastAsia="zh-CN"/>
        </w:rPr>
      </w:pPr>
      <w:r>
        <w:rPr>
          <w:rFonts w:hint="eastAsia" w:ascii="宋体" w:hAnsi="宋体"/>
          <w:b/>
          <w:sz w:val="32"/>
          <w:szCs w:val="32"/>
          <w:lang w:eastAsia="zh-CN"/>
        </w:rPr>
        <w:t>制定标准的必要性和意义</w:t>
      </w:r>
    </w:p>
    <w:p w14:paraId="59BA8112">
      <w:pPr>
        <w:spacing w:line="360" w:lineRule="auto"/>
        <w:ind w:firstLine="640" w:firstLineChars="200"/>
        <w:rPr>
          <w:rFonts w:eastAsia="仿宋"/>
          <w:bCs/>
          <w:sz w:val="32"/>
          <w:szCs w:val="32"/>
        </w:rPr>
      </w:pPr>
      <w:r>
        <w:rPr>
          <w:rFonts w:eastAsia="仿宋"/>
          <w:bCs/>
          <w:sz w:val="32"/>
          <w:szCs w:val="32"/>
        </w:rPr>
        <w:t>黄花菜（</w:t>
      </w:r>
      <w:r>
        <w:rPr>
          <w:rFonts w:eastAsia="仿宋"/>
          <w:bCs/>
          <w:i/>
          <w:iCs/>
          <w:sz w:val="32"/>
          <w:szCs w:val="32"/>
        </w:rPr>
        <w:t xml:space="preserve">Hemerocallis citrina </w:t>
      </w:r>
      <w:r>
        <w:rPr>
          <w:rFonts w:eastAsia="仿宋"/>
          <w:bCs/>
          <w:sz w:val="32"/>
          <w:szCs w:val="32"/>
        </w:rPr>
        <w:t>Baroni），学名萱草，又名金针菜、忘忧草，在中国有三千多年的栽培与食用历史，是为药食同源的保健珍品，于医药、饮食领域具有广泛应用前景。</w:t>
      </w:r>
    </w:p>
    <w:p w14:paraId="68154ACB">
      <w:pPr>
        <w:spacing w:line="360" w:lineRule="auto"/>
        <w:ind w:firstLine="640" w:firstLineChars="200"/>
        <w:rPr>
          <w:rFonts w:eastAsia="仿宋"/>
          <w:bCs/>
          <w:sz w:val="32"/>
          <w:szCs w:val="32"/>
        </w:rPr>
      </w:pPr>
      <w:r>
        <w:rPr>
          <w:rFonts w:eastAsia="仿宋"/>
          <w:bCs/>
          <w:sz w:val="32"/>
          <w:szCs w:val="32"/>
        </w:rPr>
        <w:t>黄花菜营养丰富，富含蛋白质、碳水化合物，特别是钙、磷、铁、胡萝卜素、膳食纤维、硫胺素、尼克酸含量很高，主要成分卵磷脂，素有“细胞保护神”和“血管清道夫”的美称。</w:t>
      </w:r>
    </w:p>
    <w:p w14:paraId="4D1ADBD4">
      <w:pPr>
        <w:spacing w:line="360" w:lineRule="auto"/>
        <w:ind w:firstLine="640" w:firstLineChars="200"/>
        <w:rPr>
          <w:rFonts w:eastAsia="仿宋"/>
          <w:bCs/>
          <w:sz w:val="32"/>
          <w:szCs w:val="32"/>
        </w:rPr>
      </w:pPr>
      <w:r>
        <w:rPr>
          <w:rFonts w:eastAsia="仿宋"/>
          <w:bCs/>
          <w:sz w:val="32"/>
          <w:szCs w:val="32"/>
        </w:rPr>
        <w:t>山西省大同市种植黄花菜历史悠久，目前全市黄花种植面积26.5万亩，占全国黄花种植面积1/4，鲜菜产量14.1万吨，占全国黄花总产量1/5，全市黄花全产业链产值突破30亿元。黄花菜资源丰富、质量好、价格低，然而黄花菜采收及采后处理则是关系到黄花菜质量品质的关键技术环节，过早采摘不仅产量低而干制后产品带黑色，过迟花蕾已开放，花药破裂，花粉散出，干制品的品质降低，贮存过程中也易遭虫害；而且新鲜黄花菜存在保质期短、易腐烂、不易运输等问题，每年因为存储不当造成了大量的浪费。对黄花菜进行适时采摘是生产优质黄花菜的重要环节。</w:t>
      </w:r>
    </w:p>
    <w:p w14:paraId="1C386FC0">
      <w:pPr>
        <w:spacing w:line="360" w:lineRule="auto"/>
        <w:ind w:firstLine="640" w:firstLineChars="200"/>
        <w:rPr>
          <w:rFonts w:eastAsia="仿宋"/>
          <w:bCs/>
          <w:sz w:val="32"/>
          <w:szCs w:val="32"/>
        </w:rPr>
      </w:pPr>
      <w:r>
        <w:rPr>
          <w:rFonts w:eastAsia="仿宋"/>
          <w:bCs/>
          <w:sz w:val="32"/>
          <w:szCs w:val="32"/>
        </w:rPr>
        <w:t>目前，黄花菜的采收及采后处理因缺乏相应的标准和规范，未明确规定具体的工艺参数，导致企业、个人缺乏规范化、标准化的采摘，引起黄花菜品质不能得到有效控制，质量不稳定，往往容易出现霉烂、污染等影响黄花菜品质的问题。</w:t>
      </w:r>
    </w:p>
    <w:p w14:paraId="1A5AF5E3">
      <w:pPr>
        <w:spacing w:line="360" w:lineRule="auto"/>
        <w:ind w:firstLine="640" w:firstLineChars="200"/>
        <w:rPr>
          <w:rFonts w:eastAsia="仿宋"/>
          <w:bCs/>
          <w:sz w:val="32"/>
          <w:szCs w:val="32"/>
        </w:rPr>
      </w:pPr>
      <w:r>
        <w:rPr>
          <w:rFonts w:eastAsia="仿宋"/>
          <w:bCs/>
          <w:sz w:val="32"/>
          <w:szCs w:val="32"/>
        </w:rPr>
        <w:t>针对上述问题，近几年摸索研究了黄花菜采收及采后处理关键技术，开展了一系列黄花菜采收及采后措施有效保持黄花菜品质相关研究。</w:t>
      </w:r>
    </w:p>
    <w:p w14:paraId="4C6724F9">
      <w:pPr>
        <w:spacing w:line="360" w:lineRule="auto"/>
        <w:ind w:firstLine="640" w:firstLineChars="200"/>
        <w:jc w:val="left"/>
        <w:outlineLvl w:val="1"/>
        <w:rPr>
          <w:rFonts w:eastAsia="仿宋"/>
          <w:bCs/>
          <w:sz w:val="32"/>
          <w:szCs w:val="32"/>
        </w:rPr>
      </w:pPr>
      <w:r>
        <w:rPr>
          <w:rFonts w:eastAsia="仿宋"/>
          <w:bCs/>
          <w:sz w:val="32"/>
          <w:szCs w:val="32"/>
        </w:rPr>
        <w:t>因此，制定《黄花菜采收技术规程》，将黄花菜采收及采后处理技术标准化、规范化，是突破瓶颈制约、优化产业发展的必经之路，可有效地解决产业发展面临的实践难题，对于我省农产品提质增效、农民就业增收和农村一二三产业融合发展，推动黄花菜产业升级，巩固拓展脱贫攻坚成果，实施乡村振兴战略，保持国民经济平稳较快增长，都具有十分重要的意义。</w:t>
      </w:r>
    </w:p>
    <w:p w14:paraId="01CB9586">
      <w:pPr>
        <w:spacing w:line="600" w:lineRule="exact"/>
        <w:ind w:right="17" w:firstLine="482" w:firstLineChars="150"/>
        <w:rPr>
          <w:rFonts w:eastAsia="楷体_GB2312"/>
          <w:b/>
          <w:sz w:val="32"/>
          <w:szCs w:val="32"/>
        </w:rPr>
      </w:pPr>
      <w:r>
        <w:rPr>
          <w:rFonts w:hint="eastAsia" w:eastAsia="楷体_GB2312"/>
          <w:b/>
          <w:sz w:val="32"/>
          <w:szCs w:val="32"/>
          <w:lang w:eastAsia="zh-CN"/>
        </w:rPr>
        <w:t>三、主要</w:t>
      </w:r>
      <w:r>
        <w:rPr>
          <w:rFonts w:eastAsia="楷体_GB2312"/>
          <w:b/>
          <w:sz w:val="32"/>
          <w:szCs w:val="32"/>
        </w:rPr>
        <w:t>起草</w:t>
      </w:r>
      <w:r>
        <w:rPr>
          <w:rFonts w:hint="eastAsia" w:eastAsia="楷体_GB2312"/>
          <w:b/>
          <w:sz w:val="32"/>
          <w:szCs w:val="32"/>
          <w:lang w:eastAsia="zh-CN"/>
        </w:rPr>
        <w:t>工作</w:t>
      </w:r>
      <w:r>
        <w:rPr>
          <w:rFonts w:eastAsia="楷体_GB2312"/>
          <w:b/>
          <w:sz w:val="32"/>
          <w:szCs w:val="32"/>
        </w:rPr>
        <w:t>过程</w:t>
      </w:r>
    </w:p>
    <w:p w14:paraId="1236759A">
      <w:pPr>
        <w:ind w:firstLine="640" w:firstLineChars="200"/>
        <w:jc w:val="left"/>
        <w:rPr>
          <w:color w:val="000000"/>
          <w:sz w:val="32"/>
          <w:szCs w:val="32"/>
        </w:rPr>
      </w:pPr>
      <w:r>
        <w:rPr>
          <w:color w:val="000000"/>
          <w:sz w:val="32"/>
          <w:szCs w:val="32"/>
        </w:rPr>
        <w:t>1. 成立标准制订工作组</w:t>
      </w:r>
    </w:p>
    <w:p w14:paraId="5D4599CB">
      <w:pPr>
        <w:spacing w:line="360" w:lineRule="auto"/>
        <w:ind w:firstLine="640" w:firstLineChars="200"/>
        <w:rPr>
          <w:rFonts w:eastAsia="仿宋"/>
          <w:bCs/>
          <w:sz w:val="32"/>
          <w:szCs w:val="32"/>
        </w:rPr>
      </w:pPr>
      <w:r>
        <w:rPr>
          <w:rFonts w:eastAsia="仿宋"/>
          <w:bCs/>
          <w:sz w:val="32"/>
          <w:szCs w:val="32"/>
        </w:rPr>
        <w:t>为做好标准编制工作，山西农业大学、湖南农业大学、天镇县博诚蔬菜有限责任公司和山西冰华食品科技有限公司于成立了标准编制工作小组，并确定了起草小组人员，初步拟定了标准工作方案和工作计划，对查阅文献、重复有关实验以及资料整理、调查生产现状与实践验证工作进行分工。</w:t>
      </w:r>
    </w:p>
    <w:p w14:paraId="2E50875E">
      <w:pPr>
        <w:ind w:firstLine="640" w:firstLineChars="200"/>
        <w:jc w:val="left"/>
        <w:rPr>
          <w:color w:val="000000"/>
          <w:sz w:val="32"/>
          <w:szCs w:val="32"/>
        </w:rPr>
      </w:pPr>
      <w:r>
        <w:rPr>
          <w:color w:val="000000"/>
          <w:sz w:val="32"/>
          <w:szCs w:val="32"/>
        </w:rPr>
        <w:t>2. 收集资料及调研考察</w:t>
      </w:r>
    </w:p>
    <w:p w14:paraId="59B039CC">
      <w:pPr>
        <w:spacing w:line="360" w:lineRule="auto"/>
        <w:ind w:firstLine="640" w:firstLineChars="200"/>
        <w:rPr>
          <w:rFonts w:eastAsia="仿宋_GB2312"/>
          <w:bCs/>
          <w:sz w:val="32"/>
          <w:szCs w:val="32"/>
        </w:rPr>
      </w:pPr>
      <w:r>
        <w:rPr>
          <w:rFonts w:eastAsia="仿宋"/>
          <w:bCs/>
          <w:sz w:val="32"/>
          <w:szCs w:val="32"/>
        </w:rPr>
        <w:t>制订初期，起草小组深入学习了标准的基本结构和编写规则，了解了标准的起草格式和写作要求。2022年6月起，起草小组查阅收集有关黄花菜采收等方面现行有效的国内外标准等相关文献，深入研究其中的技术参数，为本标准的起草奠定文献资料基础，整理出了所需的资料，为起草标准作了文献和科学数据等方面的准备。并在以大同市为代表的山西省范围内深入种植基地和农户对黄花菜采收、等级规格、产地包装、短期存放及运输等相关技术，进行广泛调研与考察。</w:t>
      </w:r>
    </w:p>
    <w:p w14:paraId="0B1E243E">
      <w:pPr>
        <w:ind w:firstLine="640" w:firstLineChars="200"/>
        <w:jc w:val="left"/>
        <w:rPr>
          <w:color w:val="000000"/>
          <w:sz w:val="32"/>
          <w:szCs w:val="32"/>
        </w:rPr>
      </w:pPr>
      <w:r>
        <w:rPr>
          <w:color w:val="000000"/>
          <w:sz w:val="32"/>
          <w:szCs w:val="32"/>
        </w:rPr>
        <w:t xml:space="preserve">3. </w:t>
      </w:r>
      <w:bookmarkStart w:id="0" w:name="_Hlk179799768"/>
      <w:r>
        <w:rPr>
          <w:color w:val="000000"/>
          <w:sz w:val="32"/>
          <w:szCs w:val="32"/>
        </w:rPr>
        <w:t>制</w:t>
      </w:r>
      <w:bookmarkEnd w:id="0"/>
      <w:r>
        <w:rPr>
          <w:color w:val="000000"/>
          <w:sz w:val="32"/>
          <w:szCs w:val="32"/>
        </w:rPr>
        <w:t>订文本</w:t>
      </w:r>
    </w:p>
    <w:p w14:paraId="0D597AFD">
      <w:pPr>
        <w:spacing w:line="360" w:lineRule="auto"/>
        <w:ind w:firstLine="640" w:firstLineChars="200"/>
        <w:outlineLvl w:val="0"/>
        <w:rPr>
          <w:rFonts w:eastAsia="仿宋"/>
          <w:bCs/>
          <w:sz w:val="32"/>
          <w:szCs w:val="32"/>
        </w:rPr>
      </w:pPr>
      <w:r>
        <w:rPr>
          <w:rFonts w:eastAsia="仿宋"/>
          <w:bCs/>
          <w:sz w:val="32"/>
          <w:szCs w:val="32"/>
        </w:rPr>
        <w:t>标准制订过程中，起草组认真听取历次评审专家提出的意见，形成征求意见稿，并先后向多家单位征求意见。</w:t>
      </w:r>
    </w:p>
    <w:p w14:paraId="3EE6218A">
      <w:pPr>
        <w:ind w:firstLine="640" w:firstLineChars="200"/>
        <w:jc w:val="left"/>
        <w:rPr>
          <w:color w:val="000000"/>
          <w:sz w:val="32"/>
          <w:szCs w:val="32"/>
        </w:rPr>
      </w:pPr>
      <w:r>
        <w:rPr>
          <w:color w:val="000000"/>
          <w:sz w:val="32"/>
          <w:szCs w:val="32"/>
        </w:rPr>
        <w:t>4. 技术评审</w:t>
      </w:r>
    </w:p>
    <w:p w14:paraId="51B5F598">
      <w:pPr>
        <w:spacing w:line="360" w:lineRule="auto"/>
        <w:ind w:firstLine="640" w:firstLineChars="200"/>
        <w:outlineLvl w:val="0"/>
        <w:rPr>
          <w:rFonts w:eastAsia="仿宋"/>
          <w:bCs/>
          <w:sz w:val="32"/>
          <w:szCs w:val="32"/>
        </w:rPr>
      </w:pPr>
      <w:r>
        <w:rPr>
          <w:rFonts w:eastAsia="仿宋"/>
          <w:bCs/>
          <w:sz w:val="32"/>
          <w:szCs w:val="32"/>
        </w:rPr>
        <w:t>2024年10月16日，山西省农业标准化技术委员会组织专家，召开了技术审查会，起草组根据专家意见进行修改完善，形成修改完善稿。</w:t>
      </w:r>
    </w:p>
    <w:p w14:paraId="3C542014">
      <w:pPr>
        <w:ind w:firstLine="640" w:firstLineChars="200"/>
        <w:jc w:val="left"/>
        <w:rPr>
          <w:color w:val="000000"/>
          <w:sz w:val="32"/>
          <w:szCs w:val="32"/>
        </w:rPr>
      </w:pPr>
      <w:r>
        <w:rPr>
          <w:rFonts w:hint="eastAsia"/>
          <w:color w:val="000000"/>
          <w:sz w:val="32"/>
          <w:szCs w:val="32"/>
        </w:rPr>
        <w:t>5</w:t>
      </w:r>
      <w:r>
        <w:rPr>
          <w:color w:val="000000"/>
          <w:sz w:val="32"/>
          <w:szCs w:val="32"/>
        </w:rPr>
        <w:t>. 征求意见</w:t>
      </w:r>
    </w:p>
    <w:p w14:paraId="19D77823">
      <w:pPr>
        <w:spacing w:line="360" w:lineRule="auto"/>
        <w:ind w:firstLine="640" w:firstLineChars="200"/>
        <w:outlineLvl w:val="0"/>
        <w:rPr>
          <w:rFonts w:eastAsia="仿宋"/>
          <w:bCs/>
          <w:sz w:val="32"/>
          <w:szCs w:val="32"/>
        </w:rPr>
      </w:pPr>
      <w:r>
        <w:rPr>
          <w:rFonts w:eastAsia="仿宋"/>
          <w:bCs/>
          <w:sz w:val="32"/>
          <w:szCs w:val="32"/>
        </w:rPr>
        <w:t>2024年 xx 月 xx 日﹣2024年 xx 月 xx 日，通过山西省市场监管局网对制订标准《黄花菜采收技术规程》进行公示，广泛征求公众意见。</w:t>
      </w:r>
    </w:p>
    <w:p w14:paraId="405BF1AF">
      <w:pPr>
        <w:ind w:firstLine="640" w:firstLineChars="200"/>
        <w:jc w:val="left"/>
        <w:rPr>
          <w:color w:val="000000"/>
          <w:sz w:val="32"/>
          <w:szCs w:val="32"/>
        </w:rPr>
      </w:pPr>
      <w:r>
        <w:rPr>
          <w:rFonts w:hint="eastAsia"/>
          <w:color w:val="000000"/>
          <w:sz w:val="32"/>
          <w:szCs w:val="32"/>
        </w:rPr>
        <w:t>6</w:t>
      </w:r>
      <w:r>
        <w:rPr>
          <w:color w:val="000000"/>
          <w:sz w:val="32"/>
          <w:szCs w:val="32"/>
        </w:rPr>
        <w:t>. 完善文本</w:t>
      </w:r>
    </w:p>
    <w:p w14:paraId="1FF5E9AC">
      <w:pPr>
        <w:spacing w:line="360" w:lineRule="auto"/>
        <w:ind w:firstLine="640" w:firstLineChars="200"/>
        <w:outlineLvl w:val="0"/>
        <w:rPr>
          <w:rFonts w:eastAsia="仿宋"/>
          <w:bCs/>
          <w:sz w:val="32"/>
          <w:szCs w:val="32"/>
        </w:rPr>
      </w:pPr>
      <w:r>
        <w:rPr>
          <w:rFonts w:eastAsia="仿宋"/>
          <w:bCs/>
          <w:sz w:val="32"/>
          <w:szCs w:val="32"/>
        </w:rPr>
        <w:t>标准制订组对征求的意见进行分析汇总，进一步修改完善后形成标准送审稿，标委会表决予以通过。</w:t>
      </w:r>
    </w:p>
    <w:p w14:paraId="6F0B427E">
      <w:pPr>
        <w:ind w:firstLine="640" w:firstLineChars="200"/>
        <w:jc w:val="left"/>
        <w:rPr>
          <w:color w:val="000000"/>
          <w:sz w:val="32"/>
          <w:szCs w:val="32"/>
        </w:rPr>
      </w:pPr>
      <w:r>
        <w:rPr>
          <w:rFonts w:hint="eastAsia"/>
          <w:color w:val="000000"/>
          <w:sz w:val="32"/>
          <w:szCs w:val="32"/>
        </w:rPr>
        <w:t>7</w:t>
      </w:r>
      <w:r>
        <w:rPr>
          <w:color w:val="000000"/>
          <w:sz w:val="32"/>
          <w:szCs w:val="32"/>
        </w:rPr>
        <w:t>. 形成报批稿、提交报批材料</w:t>
      </w:r>
    </w:p>
    <w:p w14:paraId="70978F51">
      <w:pPr>
        <w:spacing w:line="600" w:lineRule="exact"/>
        <w:ind w:right="17" w:firstLine="480" w:firstLineChars="150"/>
        <w:rPr>
          <w:rFonts w:eastAsia="仿宋"/>
          <w:bCs/>
          <w:sz w:val="32"/>
          <w:szCs w:val="32"/>
        </w:rPr>
      </w:pPr>
      <w:r>
        <w:rPr>
          <w:rFonts w:eastAsia="仿宋"/>
          <w:bCs/>
          <w:sz w:val="32"/>
          <w:szCs w:val="32"/>
        </w:rPr>
        <w:t>在征求意见的基础上，对黄花菜采收、等级规格、产地包装、短期存放及运输等相关技术等内容进一步完善，形成了《黄花菜采收技术规程》标准报批稿，提交报批材料。</w:t>
      </w:r>
    </w:p>
    <w:p w14:paraId="151EC859">
      <w:pPr>
        <w:pStyle w:val="35"/>
        <w:spacing w:line="360" w:lineRule="auto"/>
        <w:ind w:firstLine="643" w:firstLineChars="200"/>
        <w:rPr>
          <w:rFonts w:ascii="宋体" w:hAnsi="宋体"/>
          <w:b/>
          <w:sz w:val="32"/>
          <w:szCs w:val="32"/>
        </w:rPr>
      </w:pPr>
      <w:r>
        <w:rPr>
          <w:rFonts w:hint="eastAsia" w:ascii="宋体" w:hAnsi="宋体"/>
          <w:b/>
          <w:sz w:val="32"/>
          <w:szCs w:val="32"/>
        </w:rPr>
        <w:t>四、</w:t>
      </w: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14:paraId="6A9D79AE">
      <w:pPr>
        <w:spacing w:line="600" w:lineRule="exact"/>
        <w:ind w:right="17" w:firstLine="482" w:firstLineChars="150"/>
        <w:rPr>
          <w:rFonts w:eastAsia="楷体_GB2312"/>
          <w:b/>
          <w:sz w:val="32"/>
          <w:szCs w:val="32"/>
        </w:rPr>
      </w:pPr>
      <w:r>
        <w:rPr>
          <w:rFonts w:eastAsia="楷体_GB2312"/>
          <w:b/>
          <w:sz w:val="32"/>
          <w:szCs w:val="32"/>
        </w:rPr>
        <w:t>（一）编制原则</w:t>
      </w:r>
    </w:p>
    <w:p w14:paraId="23737DDA">
      <w:pPr>
        <w:ind w:firstLine="640" w:firstLineChars="200"/>
        <w:jc w:val="left"/>
        <w:rPr>
          <w:color w:val="000000"/>
          <w:sz w:val="32"/>
          <w:szCs w:val="32"/>
        </w:rPr>
      </w:pPr>
      <w:r>
        <w:rPr>
          <w:color w:val="000000"/>
          <w:sz w:val="32"/>
          <w:szCs w:val="32"/>
        </w:rPr>
        <w:t>1</w:t>
      </w:r>
      <w:r>
        <w:rPr>
          <w:rFonts w:hint="eastAsia"/>
          <w:color w:val="000000"/>
          <w:sz w:val="32"/>
          <w:szCs w:val="32"/>
        </w:rPr>
        <w:t>．</w:t>
      </w:r>
      <w:r>
        <w:rPr>
          <w:color w:val="000000"/>
          <w:sz w:val="32"/>
          <w:szCs w:val="32"/>
        </w:rPr>
        <w:t>科学性原则</w:t>
      </w:r>
    </w:p>
    <w:p w14:paraId="1680DEA0">
      <w:pPr>
        <w:spacing w:line="360" w:lineRule="auto"/>
        <w:ind w:firstLine="640" w:firstLineChars="200"/>
        <w:rPr>
          <w:color w:val="000000"/>
          <w:sz w:val="32"/>
          <w:szCs w:val="32"/>
        </w:rPr>
      </w:pPr>
      <w:r>
        <w:rPr>
          <w:rFonts w:eastAsia="仿宋"/>
          <w:bCs/>
          <w:sz w:val="32"/>
          <w:szCs w:val="32"/>
        </w:rPr>
        <w:t>在尊重科学、紧密结合实践、广泛征求意见及调查研究的基础上，紧贴黄花菜生产实际，具有科学性，本标准制定过程中参考了GB/T 5737《食品塑料周转箱》、</w:t>
      </w:r>
      <w:r>
        <w:rPr>
          <w:rFonts w:hint="eastAsia" w:eastAsia="仿宋"/>
          <w:bCs/>
          <w:sz w:val="32"/>
          <w:szCs w:val="32"/>
        </w:rPr>
        <w:t>GB/T 8946</w:t>
      </w:r>
      <w:r>
        <w:rPr>
          <w:rFonts w:eastAsia="仿宋"/>
          <w:bCs/>
          <w:sz w:val="32"/>
          <w:szCs w:val="32"/>
        </w:rPr>
        <w:t>《</w:t>
      </w:r>
      <w:r>
        <w:rPr>
          <w:rFonts w:hint="eastAsia" w:eastAsia="仿宋"/>
          <w:bCs/>
          <w:sz w:val="32"/>
          <w:szCs w:val="32"/>
        </w:rPr>
        <w:t>塑料编织袋通用技术要求</w:t>
      </w:r>
      <w:r>
        <w:rPr>
          <w:rFonts w:eastAsia="仿宋"/>
          <w:bCs/>
          <w:sz w:val="32"/>
          <w:szCs w:val="32"/>
        </w:rPr>
        <w:t>》、</w:t>
      </w:r>
      <w:r>
        <w:rPr>
          <w:rFonts w:hint="eastAsia" w:eastAsia="仿宋"/>
          <w:bCs/>
          <w:sz w:val="32"/>
          <w:szCs w:val="32"/>
        </w:rPr>
        <w:t>GB/T 36796</w:t>
      </w:r>
      <w:r>
        <w:rPr>
          <w:rFonts w:eastAsia="仿宋"/>
          <w:bCs/>
          <w:sz w:val="32"/>
          <w:szCs w:val="32"/>
        </w:rPr>
        <w:t>《</w:t>
      </w:r>
      <w:r>
        <w:rPr>
          <w:rFonts w:hint="eastAsia" w:eastAsia="仿宋"/>
          <w:bCs/>
          <w:sz w:val="32"/>
          <w:szCs w:val="32"/>
        </w:rPr>
        <w:t>接触食品用胶乳手套 萃取物限量</w:t>
      </w:r>
      <w:r>
        <w:rPr>
          <w:rFonts w:eastAsia="仿宋"/>
          <w:bCs/>
          <w:sz w:val="32"/>
          <w:szCs w:val="32"/>
        </w:rPr>
        <w:t>》、</w:t>
      </w:r>
      <w:r>
        <w:rPr>
          <w:rFonts w:hint="eastAsia" w:eastAsia="仿宋"/>
          <w:bCs/>
          <w:sz w:val="32"/>
          <w:szCs w:val="32"/>
        </w:rPr>
        <w:t>GB/T 42478</w:t>
      </w:r>
      <w:r>
        <w:rPr>
          <w:rFonts w:eastAsia="仿宋"/>
          <w:bCs/>
          <w:sz w:val="32"/>
          <w:szCs w:val="32"/>
        </w:rPr>
        <w:t>《</w:t>
      </w:r>
      <w:r>
        <w:rPr>
          <w:rFonts w:hint="eastAsia" w:eastAsia="仿宋"/>
          <w:bCs/>
          <w:sz w:val="32"/>
          <w:szCs w:val="32"/>
        </w:rPr>
        <w:t>农产品生产档案记载规范</w:t>
      </w:r>
      <w:r>
        <w:rPr>
          <w:rFonts w:eastAsia="仿宋"/>
          <w:bCs/>
          <w:sz w:val="32"/>
          <w:szCs w:val="32"/>
        </w:rPr>
        <w:t>》</w:t>
      </w:r>
      <w:r>
        <w:rPr>
          <w:rFonts w:hint="eastAsia" w:eastAsia="仿宋"/>
          <w:bCs/>
          <w:sz w:val="32"/>
          <w:szCs w:val="32"/>
          <w:lang w:eastAsia="zh-CN"/>
        </w:rPr>
        <w:t>、GB 50072</w:t>
      </w:r>
      <w:r>
        <w:rPr>
          <w:rFonts w:eastAsia="仿宋"/>
          <w:bCs/>
          <w:sz w:val="32"/>
          <w:szCs w:val="32"/>
        </w:rPr>
        <w:t>《</w:t>
      </w:r>
      <w:r>
        <w:rPr>
          <w:rFonts w:hint="eastAsia" w:eastAsia="仿宋"/>
          <w:bCs/>
          <w:sz w:val="32"/>
          <w:szCs w:val="32"/>
        </w:rPr>
        <w:t>冷库设计标准</w:t>
      </w:r>
      <w:r>
        <w:rPr>
          <w:rFonts w:eastAsia="仿宋"/>
          <w:bCs/>
          <w:sz w:val="32"/>
          <w:szCs w:val="32"/>
        </w:rPr>
        <w:t>》，在此基础上，确定基础数据，制定本标准。</w:t>
      </w:r>
    </w:p>
    <w:p w14:paraId="6872ABB4">
      <w:pPr>
        <w:ind w:firstLine="640" w:firstLineChars="200"/>
        <w:jc w:val="left"/>
        <w:rPr>
          <w:color w:val="000000"/>
          <w:sz w:val="32"/>
          <w:szCs w:val="32"/>
        </w:rPr>
      </w:pPr>
      <w:r>
        <w:rPr>
          <w:color w:val="000000"/>
          <w:sz w:val="32"/>
          <w:szCs w:val="32"/>
        </w:rPr>
        <w:t>2</w:t>
      </w:r>
      <w:r>
        <w:rPr>
          <w:rFonts w:hint="eastAsia"/>
          <w:color w:val="000000"/>
          <w:sz w:val="32"/>
          <w:szCs w:val="32"/>
        </w:rPr>
        <w:t>．</w:t>
      </w:r>
      <w:r>
        <w:rPr>
          <w:color w:val="000000"/>
          <w:sz w:val="32"/>
          <w:szCs w:val="32"/>
        </w:rPr>
        <w:t>适用性原则</w:t>
      </w:r>
    </w:p>
    <w:p w14:paraId="7AA5C935">
      <w:pPr>
        <w:spacing w:line="360" w:lineRule="auto"/>
        <w:ind w:firstLine="640" w:firstLineChars="200"/>
        <w:rPr>
          <w:rFonts w:eastAsia="仿宋"/>
          <w:bCs/>
          <w:sz w:val="32"/>
          <w:szCs w:val="32"/>
        </w:rPr>
      </w:pPr>
      <w:r>
        <w:rPr>
          <w:rFonts w:eastAsia="仿宋"/>
          <w:bCs/>
          <w:sz w:val="32"/>
          <w:szCs w:val="32"/>
        </w:rPr>
        <w:t>本标准围绕黄花菜采收技术，立足于我省发展现状，以相关科研成果为依据，积极借鉴国内先进标准，描述具体，适用于企业、农民专业合作社、家庭农场、种植户的实际操作。</w:t>
      </w:r>
    </w:p>
    <w:p w14:paraId="004AE864">
      <w:pPr>
        <w:ind w:firstLine="640" w:firstLineChars="200"/>
        <w:jc w:val="left"/>
        <w:rPr>
          <w:color w:val="000000"/>
          <w:sz w:val="32"/>
          <w:szCs w:val="32"/>
        </w:rPr>
      </w:pPr>
      <w:r>
        <w:rPr>
          <w:color w:val="000000"/>
          <w:sz w:val="32"/>
          <w:szCs w:val="32"/>
        </w:rPr>
        <w:t>3</w:t>
      </w:r>
      <w:r>
        <w:rPr>
          <w:rFonts w:hint="eastAsia"/>
          <w:color w:val="000000"/>
          <w:sz w:val="32"/>
          <w:szCs w:val="32"/>
        </w:rPr>
        <w:t>．</w:t>
      </w:r>
      <w:r>
        <w:rPr>
          <w:color w:val="000000"/>
          <w:sz w:val="32"/>
          <w:szCs w:val="32"/>
        </w:rPr>
        <w:t>规范性原则</w:t>
      </w:r>
    </w:p>
    <w:p w14:paraId="32BED7DD">
      <w:pPr>
        <w:spacing w:line="360" w:lineRule="auto"/>
        <w:ind w:firstLine="640" w:firstLineChars="200"/>
        <w:rPr>
          <w:rFonts w:eastAsia="仿宋"/>
          <w:bCs/>
          <w:sz w:val="32"/>
          <w:szCs w:val="32"/>
        </w:rPr>
      </w:pPr>
      <w:r>
        <w:rPr>
          <w:rFonts w:eastAsia="仿宋"/>
          <w:bCs/>
          <w:sz w:val="32"/>
          <w:szCs w:val="32"/>
        </w:rPr>
        <w:t>本标准按照《 GB / T 1.1-2020标准化工作导则第一部分：标准的结构和编写》给出的规则进行编写，对黄花菜</w:t>
      </w:r>
      <w:r>
        <w:rPr>
          <w:rFonts w:hint="eastAsia" w:eastAsia="仿宋"/>
          <w:bCs/>
          <w:sz w:val="32"/>
          <w:szCs w:val="32"/>
        </w:rPr>
        <w:t>采收准备、采收、保鲜、休养期管理及档案管理</w:t>
      </w:r>
      <w:r>
        <w:rPr>
          <w:rFonts w:eastAsia="仿宋"/>
          <w:bCs/>
          <w:sz w:val="32"/>
          <w:szCs w:val="32"/>
        </w:rPr>
        <w:t>等方面进行了规范化约束，可较好地支撑黄花菜采收的标准化发展。</w:t>
      </w:r>
    </w:p>
    <w:p w14:paraId="20D2BA9F">
      <w:pPr>
        <w:spacing w:line="600" w:lineRule="exact"/>
        <w:ind w:right="17" w:firstLine="643" w:firstLineChars="200"/>
        <w:rPr>
          <w:b/>
          <w:sz w:val="32"/>
          <w:szCs w:val="32"/>
        </w:rPr>
      </w:pPr>
      <w:r>
        <w:rPr>
          <w:rFonts w:hint="eastAsia"/>
          <w:b/>
          <w:sz w:val="32"/>
          <w:szCs w:val="32"/>
          <w:lang w:eastAsia="zh-CN"/>
        </w:rPr>
        <w:t>（二）</w:t>
      </w:r>
      <w:r>
        <w:rPr>
          <w:b/>
          <w:sz w:val="32"/>
          <w:szCs w:val="32"/>
        </w:rPr>
        <w:t>与有关现行法律、法规的关系</w:t>
      </w:r>
    </w:p>
    <w:p w14:paraId="4BD44C26">
      <w:pPr>
        <w:spacing w:line="360" w:lineRule="auto"/>
        <w:ind w:firstLine="640" w:firstLineChars="200"/>
        <w:rPr>
          <w:rFonts w:eastAsia="仿宋"/>
          <w:bCs/>
          <w:sz w:val="32"/>
          <w:szCs w:val="32"/>
        </w:rPr>
      </w:pPr>
      <w:r>
        <w:rPr>
          <w:rFonts w:eastAsia="仿宋"/>
          <w:bCs/>
          <w:sz w:val="32"/>
          <w:szCs w:val="32"/>
        </w:rPr>
        <w:t>本标准符合现行法律、法规、标准的要求。</w:t>
      </w:r>
    </w:p>
    <w:p w14:paraId="1C3C8665">
      <w:pPr>
        <w:spacing w:line="600" w:lineRule="exact"/>
        <w:ind w:right="17" w:firstLine="643" w:firstLineChars="200"/>
        <w:rPr>
          <w:b/>
          <w:sz w:val="32"/>
          <w:szCs w:val="32"/>
        </w:rPr>
      </w:pPr>
      <w:r>
        <w:rPr>
          <w:rFonts w:hint="eastAsia"/>
          <w:b/>
          <w:sz w:val="32"/>
          <w:szCs w:val="32"/>
          <w:lang w:eastAsia="zh-CN"/>
        </w:rPr>
        <w:t>（三）</w:t>
      </w:r>
      <w:r>
        <w:rPr>
          <w:b/>
          <w:sz w:val="32"/>
          <w:szCs w:val="32"/>
        </w:rPr>
        <w:t>与国家标准、行业标准以及与相关地方标准的联系与区别</w:t>
      </w:r>
    </w:p>
    <w:p w14:paraId="0DD0536C">
      <w:pPr>
        <w:spacing w:line="360" w:lineRule="auto"/>
        <w:ind w:firstLine="640" w:firstLineChars="200"/>
        <w:rPr>
          <w:rFonts w:eastAsia="仿宋"/>
          <w:bCs/>
          <w:sz w:val="32"/>
          <w:szCs w:val="32"/>
        </w:rPr>
      </w:pPr>
      <w:r>
        <w:rPr>
          <w:rFonts w:eastAsia="仿宋"/>
          <w:bCs/>
          <w:sz w:val="32"/>
          <w:szCs w:val="32"/>
        </w:rPr>
        <w:t>本标准未引用或采用国际标准和国外先进标准。</w:t>
      </w:r>
    </w:p>
    <w:p w14:paraId="77F2A1CF">
      <w:pPr>
        <w:spacing w:line="360" w:lineRule="auto"/>
        <w:ind w:firstLine="640" w:firstLineChars="200"/>
        <w:rPr>
          <w:rFonts w:eastAsia="仿宋"/>
          <w:bCs/>
          <w:sz w:val="32"/>
          <w:szCs w:val="32"/>
        </w:rPr>
      </w:pPr>
      <w:r>
        <w:rPr>
          <w:rFonts w:eastAsia="仿宋"/>
          <w:bCs/>
          <w:sz w:val="32"/>
          <w:szCs w:val="32"/>
        </w:rPr>
        <w:t>目前，现行有效的关于黄花菜的标准中，尚无国家标准，仅有1项内容为脱水黄花菜加工的行业标准，其余均为地方标准，且内容多集中在栽培、生产及干制技术，未见有关于采收技术的相关标准发布。</w:t>
      </w:r>
    </w:p>
    <w:p w14:paraId="309B1F7D">
      <w:pPr>
        <w:spacing w:line="360" w:lineRule="auto"/>
        <w:ind w:firstLine="643" w:firstLineChars="200"/>
        <w:rPr>
          <w:rFonts w:hint="eastAsia" w:ascii="宋体" w:hAnsi="宋体" w:eastAsia="宋体"/>
          <w:b/>
          <w:sz w:val="32"/>
          <w:szCs w:val="32"/>
          <w:lang w:eastAsia="zh-CN"/>
        </w:rPr>
      </w:pPr>
      <w:r>
        <w:rPr>
          <w:rFonts w:hint="eastAsia"/>
          <w:b/>
          <w:sz w:val="32"/>
          <w:szCs w:val="32"/>
        </w:rPr>
        <w:t>五、</w:t>
      </w:r>
      <w:r>
        <w:rPr>
          <w:rFonts w:hint="eastAsia" w:ascii="宋体" w:hAnsi="宋体"/>
          <w:b/>
          <w:sz w:val="32"/>
          <w:szCs w:val="32"/>
          <w:lang w:eastAsia="zh-CN"/>
        </w:rPr>
        <w:t>主要条款说明</w:t>
      </w:r>
    </w:p>
    <w:p w14:paraId="7CD4D1E4">
      <w:pPr>
        <w:spacing w:line="360" w:lineRule="auto"/>
        <w:ind w:firstLine="640" w:firstLineChars="200"/>
        <w:rPr>
          <w:rFonts w:eastAsia="仿宋"/>
          <w:bCs/>
          <w:sz w:val="32"/>
          <w:szCs w:val="32"/>
        </w:rPr>
      </w:pPr>
      <w:r>
        <w:rPr>
          <w:rFonts w:eastAsia="仿宋"/>
          <w:bCs/>
          <w:sz w:val="32"/>
          <w:szCs w:val="32"/>
        </w:rPr>
        <w:t>在标准编制过程中，项目组人员基于调研，参照文献研究成果、按照《标准化工作导则 第一部分：标准的结构和编写规则》 GB/T 1.1— 2020 的要求和规定编写标准内容。</w:t>
      </w:r>
    </w:p>
    <w:p w14:paraId="6FAAE4D5">
      <w:pPr>
        <w:ind w:firstLine="640" w:firstLineChars="200"/>
        <w:jc w:val="left"/>
        <w:rPr>
          <w:color w:val="000000"/>
          <w:sz w:val="32"/>
          <w:szCs w:val="32"/>
        </w:rPr>
      </w:pPr>
      <w:r>
        <w:rPr>
          <w:color w:val="000000"/>
          <w:sz w:val="32"/>
          <w:szCs w:val="32"/>
        </w:rPr>
        <w:t>1</w:t>
      </w:r>
      <w:r>
        <w:rPr>
          <w:rFonts w:hint="eastAsia"/>
          <w:color w:val="000000"/>
          <w:sz w:val="32"/>
          <w:szCs w:val="32"/>
        </w:rPr>
        <w:t>．</w:t>
      </w:r>
      <w:r>
        <w:rPr>
          <w:color w:val="000000"/>
          <w:sz w:val="32"/>
          <w:szCs w:val="32"/>
        </w:rPr>
        <w:t>主要条款</w:t>
      </w:r>
    </w:p>
    <w:p w14:paraId="7AB7E09B">
      <w:pPr>
        <w:spacing w:line="360" w:lineRule="auto"/>
        <w:ind w:firstLine="640" w:firstLineChars="200"/>
        <w:rPr>
          <w:rFonts w:eastAsia="仿宋"/>
          <w:bCs/>
          <w:sz w:val="32"/>
          <w:szCs w:val="32"/>
        </w:rPr>
      </w:pPr>
      <w:r>
        <w:rPr>
          <w:rFonts w:eastAsia="仿宋"/>
          <w:bCs/>
          <w:sz w:val="32"/>
          <w:szCs w:val="32"/>
        </w:rPr>
        <w:t>本标准规定了黄花菜（</w:t>
      </w:r>
      <w:r>
        <w:rPr>
          <w:rFonts w:eastAsia="仿宋"/>
          <w:bCs/>
          <w:i/>
          <w:iCs/>
          <w:sz w:val="32"/>
          <w:szCs w:val="32"/>
        </w:rPr>
        <w:t>Hemerocallis citrina</w:t>
      </w:r>
      <w:r>
        <w:rPr>
          <w:rFonts w:eastAsia="仿宋"/>
          <w:bCs/>
          <w:sz w:val="32"/>
          <w:szCs w:val="32"/>
        </w:rPr>
        <w:t xml:space="preserve"> Baroni）的</w:t>
      </w:r>
      <w:r>
        <w:rPr>
          <w:rFonts w:hint="eastAsia" w:eastAsia="仿宋"/>
          <w:bCs/>
          <w:sz w:val="32"/>
          <w:szCs w:val="32"/>
        </w:rPr>
        <w:t>采收准备、采收、保鲜、休养期管理及档案管理</w:t>
      </w:r>
      <w:r>
        <w:rPr>
          <w:rFonts w:eastAsia="仿宋"/>
          <w:bCs/>
          <w:sz w:val="32"/>
          <w:szCs w:val="32"/>
        </w:rPr>
        <w:t>技术要求。适用于山西省黄花菜采收。</w:t>
      </w:r>
    </w:p>
    <w:p w14:paraId="0598F4E7">
      <w:pPr>
        <w:ind w:firstLine="640" w:firstLineChars="200"/>
        <w:jc w:val="left"/>
        <w:rPr>
          <w:rFonts w:eastAsia="楷体_GB2312"/>
          <w:sz w:val="32"/>
          <w:szCs w:val="32"/>
        </w:rPr>
      </w:pPr>
      <w:r>
        <w:rPr>
          <w:color w:val="000000"/>
          <w:sz w:val="32"/>
          <w:szCs w:val="32"/>
        </w:rPr>
        <w:t>2</w:t>
      </w:r>
      <w:r>
        <w:rPr>
          <w:rFonts w:hint="eastAsia"/>
          <w:color w:val="000000"/>
          <w:sz w:val="32"/>
          <w:szCs w:val="32"/>
        </w:rPr>
        <w:t>．</w:t>
      </w:r>
      <w:r>
        <w:rPr>
          <w:color w:val="000000"/>
          <w:sz w:val="32"/>
          <w:szCs w:val="32"/>
        </w:rPr>
        <w:t>主要技术指标、参数</w:t>
      </w:r>
    </w:p>
    <w:p w14:paraId="4B666665">
      <w:pPr>
        <w:spacing w:line="360" w:lineRule="auto"/>
        <w:ind w:firstLine="640" w:firstLineChars="200"/>
        <w:rPr>
          <w:rFonts w:eastAsia="仿宋"/>
          <w:bCs/>
          <w:sz w:val="32"/>
          <w:szCs w:val="32"/>
        </w:rPr>
      </w:pPr>
      <w:r>
        <w:rPr>
          <w:rFonts w:eastAsia="仿宋"/>
          <w:bCs/>
          <w:sz w:val="32"/>
          <w:szCs w:val="32"/>
        </w:rPr>
        <w:t>（1）采收时间（</w:t>
      </w:r>
      <w:r>
        <w:rPr>
          <w:rFonts w:hint="eastAsia" w:eastAsia="仿宋"/>
          <w:bCs/>
          <w:sz w:val="32"/>
          <w:szCs w:val="32"/>
          <w:lang w:val="en-US" w:eastAsia="zh-CN"/>
        </w:rPr>
        <w:t>5</w:t>
      </w:r>
      <w:r>
        <w:rPr>
          <w:rFonts w:eastAsia="仿宋"/>
          <w:bCs/>
          <w:sz w:val="32"/>
          <w:szCs w:val="32"/>
        </w:rPr>
        <w:t>.</w:t>
      </w:r>
      <w:r>
        <w:rPr>
          <w:rFonts w:hint="eastAsia" w:eastAsia="仿宋"/>
          <w:bCs/>
          <w:sz w:val="32"/>
          <w:szCs w:val="32"/>
          <w:lang w:val="en-US" w:eastAsia="zh-CN"/>
        </w:rPr>
        <w:t>1</w:t>
      </w:r>
      <w:r>
        <w:rPr>
          <w:rFonts w:eastAsia="仿宋"/>
          <w:bCs/>
          <w:sz w:val="32"/>
          <w:szCs w:val="32"/>
        </w:rPr>
        <w:t>）</w:t>
      </w:r>
    </w:p>
    <w:p w14:paraId="0A16FAE0">
      <w:pPr>
        <w:spacing w:line="360" w:lineRule="auto"/>
        <w:ind w:firstLine="640" w:firstLineChars="200"/>
        <w:rPr>
          <w:rFonts w:eastAsia="仿宋"/>
          <w:bCs/>
          <w:sz w:val="32"/>
          <w:szCs w:val="32"/>
        </w:rPr>
      </w:pPr>
      <w:r>
        <w:rPr>
          <w:rFonts w:eastAsia="仿宋"/>
          <w:bCs/>
          <w:sz w:val="32"/>
          <w:szCs w:val="32"/>
        </w:rPr>
        <w:t>黄花菜因种植产地环境不同、种源不同、栽培方法不同，同一地区的采收时间也有差别。最佳采收时间可根据黄花菜生长期、外观性状和成熟度来选择。采收时间一般是从6月下旬开始陆续采收，因种植产地海拔不同，导致起始采摘时间也有差异，一直可采到到8月上旬，共计40-50天左右，以10-12天为一茬的采收期，整个采收期共计采收三茬。</w:t>
      </w:r>
      <w:r>
        <w:rPr>
          <w:rFonts w:hint="eastAsia" w:eastAsia="仿宋"/>
          <w:bCs/>
          <w:sz w:val="32"/>
          <w:szCs w:val="32"/>
        </w:rPr>
        <w:t xml:space="preserve">选择花蕾在裂嘴前 1h～2h </w:t>
      </w:r>
      <w:r>
        <w:rPr>
          <w:rFonts w:hint="eastAsia" w:eastAsia="仿宋"/>
          <w:bCs/>
          <w:sz w:val="32"/>
          <w:szCs w:val="32"/>
          <w:lang w:eastAsia="zh-CN"/>
        </w:rPr>
        <w:t>进行</w:t>
      </w:r>
      <w:r>
        <w:rPr>
          <w:rFonts w:hint="eastAsia" w:eastAsia="仿宋"/>
          <w:bCs/>
          <w:sz w:val="32"/>
          <w:szCs w:val="32"/>
        </w:rPr>
        <w:t>采摘，</w:t>
      </w:r>
      <w:r>
        <w:rPr>
          <w:rFonts w:hint="eastAsia" w:eastAsia="仿宋"/>
          <w:bCs/>
          <w:sz w:val="32"/>
          <w:szCs w:val="32"/>
          <w:lang w:eastAsia="zh-CN"/>
        </w:rPr>
        <w:t>以</w:t>
      </w:r>
      <w:r>
        <w:rPr>
          <w:rFonts w:hint="eastAsia" w:eastAsia="仿宋"/>
          <w:bCs/>
          <w:sz w:val="32"/>
          <w:szCs w:val="32"/>
        </w:rPr>
        <w:t>早晨3时～9时为佳</w:t>
      </w:r>
      <w:r>
        <w:rPr>
          <w:rFonts w:hint="eastAsia" w:eastAsia="仿宋"/>
          <w:bCs/>
          <w:sz w:val="32"/>
          <w:szCs w:val="32"/>
          <w:lang w:eastAsia="zh-CN"/>
        </w:rPr>
        <w:t>。选择晴朗无风的天气进行采收，如遇高温和阴雨天，应适时提前采收，减少损失。</w:t>
      </w:r>
      <w:r>
        <w:rPr>
          <w:rFonts w:eastAsia="仿宋"/>
          <w:bCs/>
          <w:sz w:val="32"/>
          <w:szCs w:val="32"/>
        </w:rPr>
        <w:t>花蕾的采摘时间不能太早，不然会影响其产量，而且经过加工以后颜色也会带黑，影响销售品质。但是采摘的时间也不能太晚，不然会导致花瓣开裂，花粉散开，品质变差。采收时间的确定是综合基地采收时间、项目组试验结果、参考文献与实地情况得出的结论。</w:t>
      </w:r>
    </w:p>
    <w:p w14:paraId="6D41058A">
      <w:pPr>
        <w:spacing w:line="360" w:lineRule="auto"/>
        <w:ind w:firstLine="640" w:firstLineChars="200"/>
        <w:rPr>
          <w:rFonts w:eastAsia="仿宋"/>
          <w:bCs/>
          <w:sz w:val="32"/>
          <w:szCs w:val="32"/>
        </w:rPr>
      </w:pPr>
      <w:r>
        <w:rPr>
          <w:rFonts w:eastAsia="仿宋"/>
          <w:bCs/>
          <w:sz w:val="32"/>
          <w:szCs w:val="32"/>
        </w:rPr>
        <w:t>（2）</w:t>
      </w:r>
      <w:r>
        <w:rPr>
          <w:rFonts w:hint="eastAsia" w:eastAsia="仿宋"/>
          <w:bCs/>
          <w:sz w:val="32"/>
          <w:szCs w:val="32"/>
          <w:lang w:eastAsia="zh-CN"/>
        </w:rPr>
        <w:t>成熟度</w:t>
      </w:r>
      <w:r>
        <w:rPr>
          <w:rFonts w:eastAsia="仿宋"/>
          <w:bCs/>
          <w:sz w:val="32"/>
          <w:szCs w:val="32"/>
        </w:rPr>
        <w:t>（</w:t>
      </w:r>
      <w:r>
        <w:rPr>
          <w:rFonts w:hint="eastAsia" w:eastAsia="仿宋"/>
          <w:bCs/>
          <w:sz w:val="32"/>
          <w:szCs w:val="32"/>
          <w:lang w:val="en-US" w:eastAsia="zh-CN"/>
        </w:rPr>
        <w:t>5</w:t>
      </w:r>
      <w:r>
        <w:rPr>
          <w:rFonts w:eastAsia="仿宋"/>
          <w:bCs/>
          <w:sz w:val="32"/>
          <w:szCs w:val="32"/>
        </w:rPr>
        <w:t>.</w:t>
      </w:r>
      <w:r>
        <w:rPr>
          <w:rFonts w:hint="eastAsia" w:eastAsia="仿宋"/>
          <w:bCs/>
          <w:sz w:val="32"/>
          <w:szCs w:val="32"/>
          <w:lang w:val="en-US" w:eastAsia="zh-CN"/>
        </w:rPr>
        <w:t>2</w:t>
      </w:r>
      <w:r>
        <w:rPr>
          <w:rFonts w:eastAsia="仿宋"/>
          <w:bCs/>
          <w:sz w:val="32"/>
          <w:szCs w:val="32"/>
        </w:rPr>
        <w:t>）</w:t>
      </w:r>
    </w:p>
    <w:p w14:paraId="51DCEA27">
      <w:pPr>
        <w:spacing w:line="360" w:lineRule="auto"/>
        <w:ind w:firstLine="640" w:firstLineChars="200"/>
        <w:rPr>
          <w:rFonts w:eastAsia="仿宋"/>
          <w:bCs/>
          <w:sz w:val="32"/>
          <w:szCs w:val="32"/>
        </w:rPr>
      </w:pPr>
      <w:r>
        <w:rPr>
          <w:rFonts w:hint="eastAsia" w:eastAsia="仿宋"/>
          <w:bCs/>
          <w:sz w:val="32"/>
          <w:szCs w:val="32"/>
          <w:lang w:eastAsia="zh-CN"/>
        </w:rPr>
        <w:t>成熟度包括形态方面：</w:t>
      </w:r>
      <w:r>
        <w:rPr>
          <w:rFonts w:hint="eastAsia" w:eastAsia="仿宋"/>
          <w:bCs/>
          <w:sz w:val="32"/>
          <w:szCs w:val="32"/>
        </w:rPr>
        <w:t>形态饱满，呈黄绿色，花瓣上纵沟明显，为成熟花蕾，以花蕾生长既丰满又未开花时的质量最佳。花蕾应无异味、无腐烂，无病虫害及其他伤害</w:t>
      </w:r>
      <w:r>
        <w:rPr>
          <w:rFonts w:eastAsia="仿宋"/>
          <w:bCs/>
          <w:sz w:val="32"/>
          <w:szCs w:val="32"/>
        </w:rPr>
        <w:t>。</w:t>
      </w:r>
      <w:r>
        <w:rPr>
          <w:rFonts w:hint="eastAsia" w:eastAsia="仿宋"/>
          <w:bCs/>
          <w:sz w:val="32"/>
          <w:szCs w:val="32"/>
        </w:rPr>
        <w:t xml:space="preserve">可通过直尺、卷尺等工具进行测量或与手指进行目测比对来确定花蕾长度。 </w:t>
      </w:r>
    </w:p>
    <w:p w14:paraId="096E8F8F">
      <w:pPr>
        <w:spacing w:line="360" w:lineRule="auto"/>
        <w:ind w:firstLine="640" w:firstLineChars="200"/>
        <w:rPr>
          <w:rFonts w:eastAsia="仿宋"/>
          <w:bCs/>
          <w:sz w:val="32"/>
          <w:szCs w:val="32"/>
        </w:rPr>
      </w:pPr>
      <w:r>
        <w:rPr>
          <w:rFonts w:eastAsia="仿宋"/>
          <w:bCs/>
          <w:sz w:val="32"/>
          <w:szCs w:val="32"/>
        </w:rPr>
        <w:t>（3）</w:t>
      </w:r>
      <w:r>
        <w:rPr>
          <w:rFonts w:hint="eastAsia" w:eastAsia="仿宋"/>
          <w:bCs/>
          <w:sz w:val="32"/>
          <w:szCs w:val="32"/>
          <w:lang w:eastAsia="zh-CN"/>
        </w:rPr>
        <w:t>采收技术</w:t>
      </w:r>
      <w:r>
        <w:rPr>
          <w:rFonts w:eastAsia="仿宋"/>
          <w:bCs/>
          <w:sz w:val="32"/>
          <w:szCs w:val="32"/>
        </w:rPr>
        <w:t>（</w:t>
      </w:r>
      <w:r>
        <w:rPr>
          <w:rFonts w:hint="eastAsia" w:eastAsia="仿宋"/>
          <w:bCs/>
          <w:sz w:val="32"/>
          <w:szCs w:val="32"/>
          <w:lang w:val="en-US" w:eastAsia="zh-CN"/>
        </w:rPr>
        <w:t>5</w:t>
      </w:r>
      <w:r>
        <w:rPr>
          <w:rFonts w:eastAsia="仿宋"/>
          <w:bCs/>
          <w:sz w:val="32"/>
          <w:szCs w:val="32"/>
        </w:rPr>
        <w:t>.</w:t>
      </w:r>
      <w:r>
        <w:rPr>
          <w:rFonts w:hint="eastAsia" w:eastAsia="仿宋"/>
          <w:bCs/>
          <w:sz w:val="32"/>
          <w:szCs w:val="32"/>
          <w:lang w:val="en-US" w:eastAsia="zh-CN"/>
        </w:rPr>
        <w:t>3</w:t>
      </w:r>
      <w:r>
        <w:rPr>
          <w:rFonts w:eastAsia="仿宋"/>
          <w:bCs/>
          <w:sz w:val="32"/>
          <w:szCs w:val="32"/>
        </w:rPr>
        <w:t>）</w:t>
      </w:r>
    </w:p>
    <w:p w14:paraId="00F6664B">
      <w:pPr>
        <w:spacing w:line="360" w:lineRule="auto"/>
        <w:ind w:firstLine="640" w:firstLineChars="200"/>
        <w:rPr>
          <w:rFonts w:eastAsia="仿宋"/>
          <w:bCs/>
          <w:sz w:val="32"/>
          <w:szCs w:val="32"/>
        </w:rPr>
      </w:pPr>
      <w:r>
        <w:rPr>
          <w:rFonts w:eastAsia="仿宋"/>
          <w:bCs/>
          <w:sz w:val="32"/>
          <w:szCs w:val="32"/>
        </w:rPr>
        <w:t>目前，黄花菜的采收仍以人工采收为主。黄花菜采收方法为用食指与拇指挟住花蕾下面花梗的中部，借两指的弹力将黄花菜的花梗</w:t>
      </w:r>
      <w:r>
        <w:rPr>
          <w:rFonts w:hint="eastAsia" w:eastAsia="仿宋"/>
          <w:bCs/>
          <w:sz w:val="32"/>
          <w:szCs w:val="32"/>
          <w:lang w:eastAsia="zh-CN"/>
        </w:rPr>
        <w:t>掰</w:t>
      </w:r>
      <w:r>
        <w:rPr>
          <w:rFonts w:eastAsia="仿宋"/>
          <w:bCs/>
          <w:sz w:val="32"/>
          <w:szCs w:val="32"/>
        </w:rPr>
        <w:t>断，整齐有序的装入塑料筐中，该方法是实地调研结合专家组成员意见而定。</w:t>
      </w:r>
    </w:p>
    <w:p w14:paraId="04E800B4">
      <w:pPr>
        <w:spacing w:line="360" w:lineRule="auto"/>
        <w:ind w:firstLine="640" w:firstLineChars="200"/>
        <w:rPr>
          <w:rFonts w:eastAsia="仿宋"/>
          <w:bCs/>
          <w:sz w:val="32"/>
          <w:szCs w:val="32"/>
        </w:rPr>
      </w:pPr>
      <w:r>
        <w:rPr>
          <w:rFonts w:eastAsia="仿宋"/>
          <w:bCs/>
          <w:sz w:val="32"/>
          <w:szCs w:val="32"/>
        </w:rPr>
        <w:t>（4）</w:t>
      </w:r>
      <w:r>
        <w:rPr>
          <w:rFonts w:hint="eastAsia" w:eastAsia="仿宋"/>
          <w:bCs/>
          <w:sz w:val="32"/>
          <w:szCs w:val="32"/>
          <w:lang w:eastAsia="zh-CN"/>
        </w:rPr>
        <w:t>保鲜</w:t>
      </w:r>
      <w:r>
        <w:rPr>
          <w:rFonts w:eastAsia="仿宋"/>
          <w:bCs/>
          <w:sz w:val="32"/>
          <w:szCs w:val="32"/>
        </w:rPr>
        <w:t>（</w:t>
      </w:r>
      <w:r>
        <w:rPr>
          <w:rFonts w:hint="eastAsia" w:eastAsia="仿宋"/>
          <w:bCs/>
          <w:sz w:val="32"/>
          <w:szCs w:val="32"/>
          <w:lang w:val="en-US" w:eastAsia="zh-CN"/>
        </w:rPr>
        <w:t>6</w:t>
      </w:r>
      <w:r>
        <w:rPr>
          <w:rFonts w:eastAsia="仿宋"/>
          <w:bCs/>
          <w:sz w:val="32"/>
          <w:szCs w:val="32"/>
        </w:rPr>
        <w:t>）</w:t>
      </w:r>
    </w:p>
    <w:p w14:paraId="32331629">
      <w:pPr>
        <w:spacing w:line="360" w:lineRule="auto"/>
        <w:ind w:firstLine="640" w:firstLineChars="200"/>
        <w:rPr>
          <w:rFonts w:eastAsia="仿宋"/>
          <w:bCs/>
          <w:sz w:val="32"/>
          <w:szCs w:val="32"/>
        </w:rPr>
      </w:pPr>
      <w:r>
        <w:rPr>
          <w:rFonts w:hint="eastAsia" w:eastAsia="仿宋"/>
          <w:bCs/>
          <w:sz w:val="32"/>
          <w:szCs w:val="32"/>
          <w:lang w:eastAsia="zh-CN"/>
        </w:rPr>
        <w:t>保鲜包括保鲜条件和储藏库管理。</w:t>
      </w:r>
      <w:r>
        <w:rPr>
          <w:rFonts w:hint="eastAsia" w:eastAsia="仿宋"/>
          <w:bCs/>
          <w:sz w:val="32"/>
          <w:szCs w:val="32"/>
        </w:rPr>
        <w:t>储藏库与黄花菜地相距在500 m以内，设计应符合GB 50072的相关规定。产地存放时间不宜超过3h，如不能及时运走，宜在温度0～2℃，相对湿度90%以上条件下存放。储藏库由专人管理，采收好的黄花菜应根据采收日期、品质有序摆放入库并登记。</w:t>
      </w:r>
    </w:p>
    <w:p w14:paraId="0356B582">
      <w:pPr>
        <w:spacing w:line="360" w:lineRule="auto"/>
        <w:ind w:firstLine="640" w:firstLineChars="200"/>
        <w:rPr>
          <w:rFonts w:eastAsia="仿宋"/>
          <w:bCs/>
          <w:sz w:val="32"/>
          <w:szCs w:val="32"/>
        </w:rPr>
      </w:pPr>
      <w:r>
        <w:rPr>
          <w:rFonts w:eastAsia="仿宋"/>
          <w:bCs/>
          <w:sz w:val="32"/>
          <w:szCs w:val="32"/>
        </w:rPr>
        <w:t>（5）</w:t>
      </w:r>
      <w:r>
        <w:rPr>
          <w:rFonts w:hint="eastAsia" w:eastAsia="仿宋"/>
          <w:bCs/>
          <w:sz w:val="32"/>
          <w:szCs w:val="32"/>
          <w:lang w:eastAsia="zh-CN"/>
        </w:rPr>
        <w:t>休养期管理</w:t>
      </w:r>
      <w:r>
        <w:rPr>
          <w:rFonts w:eastAsia="仿宋"/>
          <w:bCs/>
          <w:sz w:val="32"/>
          <w:szCs w:val="32"/>
        </w:rPr>
        <w:t>（</w:t>
      </w:r>
      <w:r>
        <w:rPr>
          <w:rFonts w:hint="eastAsia" w:eastAsia="仿宋"/>
          <w:bCs/>
          <w:sz w:val="32"/>
          <w:szCs w:val="32"/>
          <w:lang w:val="en-US" w:eastAsia="zh-CN"/>
        </w:rPr>
        <w:t>7</w:t>
      </w:r>
      <w:r>
        <w:rPr>
          <w:rFonts w:eastAsia="仿宋"/>
          <w:bCs/>
          <w:sz w:val="32"/>
          <w:szCs w:val="32"/>
        </w:rPr>
        <w:t>）</w:t>
      </w:r>
    </w:p>
    <w:p w14:paraId="5C20C1B8">
      <w:pPr>
        <w:spacing w:line="360" w:lineRule="auto"/>
        <w:ind w:firstLine="640" w:firstLineChars="200"/>
        <w:rPr>
          <w:rFonts w:eastAsia="仿宋"/>
          <w:bCs/>
          <w:sz w:val="32"/>
          <w:szCs w:val="32"/>
        </w:rPr>
      </w:pPr>
      <w:r>
        <w:rPr>
          <w:rFonts w:hint="eastAsia" w:eastAsia="仿宋"/>
          <w:bCs/>
          <w:sz w:val="32"/>
          <w:szCs w:val="32"/>
          <w:lang w:eastAsia="zh-CN"/>
        </w:rPr>
        <w:t>修养期管理包括茬次间管理和采收期后管理</w:t>
      </w:r>
      <w:r>
        <w:rPr>
          <w:rFonts w:eastAsia="仿宋"/>
          <w:bCs/>
          <w:sz w:val="32"/>
          <w:szCs w:val="32"/>
        </w:rPr>
        <w:t>。</w:t>
      </w:r>
      <w:r>
        <w:rPr>
          <w:rFonts w:hint="eastAsia" w:eastAsia="仿宋"/>
          <w:bCs/>
          <w:sz w:val="32"/>
          <w:szCs w:val="32"/>
        </w:rPr>
        <w:t>花蕾采收茬次间应根据田间土壤墒情进行适当补水，随水追施钾肥，可选择硝酸钾和硫酸钾，每亩每次施6 kg。花蕾全部采摘结束后要深中耕，以创造疏松环境，提高保肥保水能力。</w:t>
      </w:r>
    </w:p>
    <w:p w14:paraId="0CD34126">
      <w:pPr>
        <w:spacing w:line="360" w:lineRule="auto"/>
        <w:ind w:firstLine="640" w:firstLineChars="200"/>
        <w:rPr>
          <w:rFonts w:eastAsia="仿宋"/>
          <w:bCs/>
          <w:sz w:val="32"/>
          <w:szCs w:val="32"/>
        </w:rPr>
      </w:pPr>
      <w:r>
        <w:rPr>
          <w:rFonts w:eastAsia="仿宋"/>
          <w:bCs/>
          <w:sz w:val="32"/>
          <w:szCs w:val="32"/>
        </w:rPr>
        <w:t>（6）</w:t>
      </w:r>
      <w:r>
        <w:rPr>
          <w:rFonts w:hint="eastAsia" w:eastAsia="仿宋"/>
          <w:bCs/>
          <w:sz w:val="32"/>
          <w:szCs w:val="32"/>
          <w:lang w:eastAsia="zh-CN"/>
        </w:rPr>
        <w:t>档案管理</w:t>
      </w:r>
      <w:r>
        <w:rPr>
          <w:rFonts w:eastAsia="仿宋"/>
          <w:bCs/>
          <w:sz w:val="32"/>
          <w:szCs w:val="32"/>
        </w:rPr>
        <w:t>（</w:t>
      </w:r>
      <w:r>
        <w:rPr>
          <w:rFonts w:hint="eastAsia" w:eastAsia="仿宋"/>
          <w:bCs/>
          <w:sz w:val="32"/>
          <w:szCs w:val="32"/>
          <w:lang w:val="en-US" w:eastAsia="zh-CN"/>
        </w:rPr>
        <w:t>8</w:t>
      </w:r>
      <w:r>
        <w:rPr>
          <w:rFonts w:eastAsia="仿宋"/>
          <w:bCs/>
          <w:sz w:val="32"/>
          <w:szCs w:val="32"/>
        </w:rPr>
        <w:t>）</w:t>
      </w:r>
    </w:p>
    <w:p w14:paraId="55741926">
      <w:pPr>
        <w:spacing w:line="360" w:lineRule="auto"/>
        <w:ind w:firstLine="640" w:firstLineChars="200"/>
        <w:rPr>
          <w:rFonts w:eastAsia="仿宋"/>
          <w:bCs/>
          <w:sz w:val="32"/>
          <w:szCs w:val="32"/>
        </w:rPr>
      </w:pPr>
      <w:r>
        <w:rPr>
          <w:rFonts w:hint="eastAsia" w:eastAsia="仿宋"/>
          <w:bCs/>
          <w:sz w:val="32"/>
          <w:szCs w:val="32"/>
        </w:rPr>
        <w:t>档案管理应符合GB/T 42478的要求，基地每个储藏库应建立独立的、完整的储藏记录档案。种植者应保留出入库有效记录，至少保存两年。有条件者，可形成电子档案保存</w:t>
      </w:r>
      <w:r>
        <w:rPr>
          <w:rFonts w:eastAsia="仿宋"/>
          <w:bCs/>
          <w:sz w:val="32"/>
          <w:szCs w:val="32"/>
        </w:rPr>
        <w:t>。</w:t>
      </w:r>
    </w:p>
    <w:p w14:paraId="4B9925E1">
      <w:pPr>
        <w:pStyle w:val="4"/>
        <w:spacing w:line="360" w:lineRule="auto"/>
        <w:ind w:left="641" w:firstLine="0" w:firstLineChars="0"/>
        <w:rPr>
          <w:rFonts w:hint="eastAsia" w:ascii="宋体" w:hAnsi="宋体"/>
          <w:b/>
          <w:sz w:val="32"/>
          <w:szCs w:val="32"/>
          <w:lang w:eastAsia="zh-CN"/>
        </w:rPr>
      </w:pPr>
      <w:r>
        <w:rPr>
          <w:rFonts w:hint="eastAsia" w:ascii="宋体" w:hAnsi="宋体"/>
          <w:b/>
          <w:sz w:val="32"/>
          <w:szCs w:val="32"/>
        </w:rPr>
        <w:t>六、</w:t>
      </w:r>
      <w:r>
        <w:rPr>
          <w:rFonts w:hint="eastAsia" w:ascii="宋体" w:hAnsi="宋体"/>
          <w:b/>
          <w:sz w:val="32"/>
          <w:szCs w:val="32"/>
          <w:lang w:eastAsia="zh-CN"/>
        </w:rPr>
        <w:t>重大意见分歧的处理依据和结果</w:t>
      </w:r>
    </w:p>
    <w:p w14:paraId="0FD1B0A6">
      <w:pPr>
        <w:spacing w:line="360" w:lineRule="auto"/>
        <w:ind w:firstLine="640" w:firstLineChars="200"/>
        <w:rPr>
          <w:rFonts w:eastAsia="仿宋"/>
          <w:bCs/>
          <w:sz w:val="32"/>
          <w:szCs w:val="32"/>
        </w:rPr>
      </w:pPr>
      <w:r>
        <w:rPr>
          <w:rFonts w:hint="eastAsia" w:eastAsia="宋体"/>
          <w:sz w:val="32"/>
          <w:szCs w:val="32"/>
          <w:lang w:eastAsia="zh-CN"/>
        </w:rPr>
        <w:t>（</w:t>
      </w:r>
      <w:r>
        <w:rPr>
          <w:rFonts w:hint="eastAsia" w:eastAsia="宋体"/>
          <w:sz w:val="32"/>
          <w:szCs w:val="32"/>
        </w:rPr>
        <w:t>征求意见情况</w:t>
      </w:r>
      <w:r>
        <w:rPr>
          <w:rFonts w:hint="eastAsia" w:eastAsia="宋体"/>
          <w:sz w:val="32"/>
          <w:szCs w:val="32"/>
          <w:lang w:eastAsia="zh-CN"/>
        </w:rPr>
        <w:t>见附表）</w:t>
      </w:r>
    </w:p>
    <w:p w14:paraId="360DED8F">
      <w:pPr>
        <w:pStyle w:val="4"/>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七、作为推荐性标准的建议</w:t>
      </w:r>
      <w:r>
        <w:rPr>
          <w:rFonts w:hint="eastAsia" w:ascii="宋体" w:hAnsi="宋体"/>
          <w:b/>
          <w:sz w:val="32"/>
          <w:szCs w:val="32"/>
          <w:lang w:eastAsia="zh-CN"/>
        </w:rPr>
        <w:t>及其理由</w:t>
      </w:r>
    </w:p>
    <w:p w14:paraId="0DF7C333">
      <w:pPr>
        <w:spacing w:line="360" w:lineRule="auto"/>
        <w:ind w:firstLine="640" w:firstLineChars="200"/>
        <w:rPr>
          <w:rFonts w:eastAsia="仿宋"/>
          <w:bCs/>
          <w:sz w:val="32"/>
          <w:szCs w:val="32"/>
        </w:rPr>
      </w:pPr>
      <w:r>
        <w:rPr>
          <w:rFonts w:eastAsia="仿宋"/>
          <w:bCs/>
          <w:sz w:val="32"/>
          <w:szCs w:val="32"/>
        </w:rPr>
        <w:t>建议本标准为推荐性标准。</w:t>
      </w:r>
    </w:p>
    <w:p w14:paraId="2DC2EB5A">
      <w:pPr>
        <w:spacing w:line="360" w:lineRule="auto"/>
        <w:ind w:firstLine="640" w:firstLineChars="200"/>
        <w:rPr>
          <w:rFonts w:eastAsia="仿宋"/>
          <w:bCs/>
          <w:sz w:val="32"/>
          <w:szCs w:val="32"/>
        </w:rPr>
      </w:pPr>
      <w:r>
        <w:rPr>
          <w:rFonts w:eastAsia="仿宋"/>
          <w:bCs/>
          <w:sz w:val="32"/>
          <w:szCs w:val="32"/>
        </w:rPr>
        <w:t>本标准的实施和推广还可给相关主管部门提供管理依据，给生产者提供参照标准，必将有利于我省黄花菜产业更加健康规范地发展。</w:t>
      </w:r>
    </w:p>
    <w:p w14:paraId="2866E4CC">
      <w:pPr>
        <w:spacing w:line="600" w:lineRule="exact"/>
        <w:ind w:right="17" w:firstLine="643" w:firstLineChars="200"/>
        <w:rPr>
          <w:b/>
          <w:sz w:val="32"/>
          <w:szCs w:val="32"/>
        </w:rPr>
      </w:pPr>
      <w:r>
        <w:rPr>
          <w:b/>
          <w:sz w:val="32"/>
          <w:szCs w:val="32"/>
        </w:rPr>
        <w:t>八、</w:t>
      </w: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14:paraId="0C1A7A91">
      <w:pPr>
        <w:spacing w:line="360" w:lineRule="auto"/>
        <w:ind w:firstLine="640" w:firstLineChars="200"/>
        <w:rPr>
          <w:rFonts w:eastAsia="仿宋"/>
          <w:bCs/>
          <w:sz w:val="32"/>
          <w:szCs w:val="32"/>
        </w:rPr>
      </w:pPr>
      <w:r>
        <w:rPr>
          <w:rFonts w:eastAsia="仿宋"/>
          <w:bCs/>
          <w:sz w:val="32"/>
          <w:szCs w:val="32"/>
        </w:rPr>
        <w:t>为使标准更好地发挥技术指导作用，提高黄花菜采收技术水平，一是要进一步提高对标准重要性的认识，二是加强对标准应用单位生产人员的技术和岗位培训，三是因地制宜开展形式多样的宣贯培训工作，切实取得成效，确保从事有关主要管理人员和技术人员普遍得到培训，提高贯彻执行标准的自觉性，扩大黄花菜采收技术的推广、实施。</w:t>
      </w:r>
    </w:p>
    <w:p w14:paraId="0E602465">
      <w:pPr>
        <w:spacing w:line="360" w:lineRule="auto"/>
        <w:ind w:firstLine="640" w:firstLineChars="200"/>
        <w:rPr>
          <w:rFonts w:eastAsia="仿宋"/>
          <w:bCs/>
          <w:sz w:val="32"/>
          <w:szCs w:val="32"/>
        </w:rPr>
      </w:pPr>
    </w:p>
    <w:p w14:paraId="35FD1C01">
      <w:pPr>
        <w:spacing w:line="360" w:lineRule="auto"/>
        <w:ind w:firstLine="640" w:firstLineChars="200"/>
        <w:rPr>
          <w:rFonts w:eastAsia="仿宋"/>
          <w:bCs/>
          <w:sz w:val="32"/>
          <w:szCs w:val="32"/>
        </w:rPr>
      </w:pPr>
    </w:p>
    <w:p w14:paraId="130A2379">
      <w:pPr>
        <w:spacing w:line="360" w:lineRule="auto"/>
        <w:ind w:firstLine="640" w:firstLineChars="200"/>
        <w:rPr>
          <w:rFonts w:eastAsia="仿宋"/>
          <w:bCs/>
          <w:sz w:val="32"/>
          <w:szCs w:val="32"/>
        </w:rPr>
      </w:pPr>
    </w:p>
    <w:p w14:paraId="5A3C4E40">
      <w:pPr>
        <w:spacing w:line="360" w:lineRule="auto"/>
        <w:ind w:firstLine="640" w:firstLineChars="200"/>
        <w:rPr>
          <w:rFonts w:eastAsia="仿宋"/>
          <w:bCs/>
          <w:sz w:val="32"/>
          <w:szCs w:val="32"/>
        </w:rPr>
      </w:pPr>
    </w:p>
    <w:p w14:paraId="54CDA477">
      <w:pPr>
        <w:spacing w:line="360" w:lineRule="auto"/>
        <w:ind w:firstLine="640" w:firstLineChars="200"/>
        <w:rPr>
          <w:rFonts w:eastAsia="仿宋"/>
          <w:bCs/>
          <w:sz w:val="32"/>
          <w:szCs w:val="32"/>
        </w:rPr>
      </w:pPr>
      <w:bookmarkStart w:id="1" w:name="_GoBack"/>
      <w:bookmarkEnd w:id="1"/>
    </w:p>
    <w:p w14:paraId="410F1DCF">
      <w:pPr>
        <w:spacing w:line="360" w:lineRule="auto"/>
        <w:ind w:firstLine="480" w:firstLineChars="200"/>
        <w:jc w:val="left"/>
        <w:rPr>
          <w:rFonts w:eastAsia="仿宋"/>
          <w:bCs/>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622EDCD9">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14:paraId="5F92BDA7">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w:t>
      </w:r>
      <w:r>
        <w:rPr>
          <w:b/>
          <w:sz w:val="32"/>
          <w:szCs w:val="32"/>
        </w:rPr>
        <w:t>黄花菜采收技术规程</w:t>
      </w:r>
      <w:r>
        <w:rPr>
          <w:rFonts w:hint="eastAsia" w:ascii="仿宋_GB2312" w:hAnsi="宋体" w:eastAsia="仿宋_GB2312"/>
          <w:sz w:val="24"/>
          <w:lang w:val="en-US" w:eastAsia="zh-CN"/>
        </w:rPr>
        <w:t>》征求意见汇总处理表</w:t>
      </w:r>
    </w:p>
    <w:p w14:paraId="21114A4B">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eastAsia="zh-CN"/>
        </w:rPr>
        <w:t>山西农业大学</w:t>
      </w:r>
      <w:r>
        <w:rPr>
          <w:rFonts w:hint="eastAsia" w:ascii="仿宋_GB2312" w:hAnsi="宋体" w:eastAsia="仿宋_GB2312"/>
          <w:sz w:val="24"/>
        </w:rPr>
        <w:t xml:space="preserve">        承办人：</w:t>
      </w:r>
      <w:r>
        <w:rPr>
          <w:rFonts w:hint="eastAsia" w:ascii="仿宋_GB2312" w:hAnsi="宋体" w:eastAsia="仿宋_GB2312"/>
          <w:sz w:val="24"/>
          <w:lang w:eastAsia="zh-CN"/>
        </w:rPr>
        <w:t>南晓洁</w:t>
      </w:r>
      <w:r>
        <w:rPr>
          <w:rFonts w:hint="eastAsia" w:ascii="仿宋_GB2312" w:hAnsi="宋体" w:eastAsia="仿宋_GB2312"/>
          <w:sz w:val="24"/>
        </w:rPr>
        <w:t xml:space="preserve">         联系电话：</w:t>
      </w:r>
      <w:r>
        <w:rPr>
          <w:rFonts w:hint="eastAsia" w:ascii="仿宋_GB2312" w:hAnsi="宋体" w:eastAsia="仿宋_GB2312"/>
          <w:sz w:val="24"/>
          <w:lang w:val="en-US" w:eastAsia="zh-CN"/>
        </w:rPr>
        <w:t>13623619618</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1</w:t>
      </w:r>
      <w:r>
        <w:rPr>
          <w:rFonts w:hint="eastAsia" w:ascii="仿宋_GB2312" w:hAnsi="宋体" w:eastAsia="仿宋_GB2312"/>
          <w:sz w:val="24"/>
        </w:rPr>
        <w:t>月</w:t>
      </w:r>
      <w:r>
        <w:rPr>
          <w:rFonts w:hint="eastAsia" w:ascii="仿宋_GB2312" w:hAnsi="宋体" w:eastAsia="仿宋_GB2312"/>
          <w:sz w:val="24"/>
          <w:lang w:val="en-US" w:eastAsia="zh-CN"/>
        </w:rPr>
        <w:t>18</w:t>
      </w:r>
      <w:r>
        <w:rPr>
          <w:rFonts w:hint="eastAsia" w:ascii="仿宋_GB2312" w:hAnsi="宋体" w:eastAsia="仿宋_GB2312"/>
          <w:sz w:val="24"/>
        </w:rPr>
        <w:t>日</w:t>
      </w:r>
    </w:p>
    <w:tbl>
      <w:tblPr>
        <w:tblStyle w:val="14"/>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14:paraId="2C7D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5F2AB989">
            <w:pPr>
              <w:jc w:val="center"/>
              <w:rPr>
                <w:rFonts w:ascii="仿宋_GB2312" w:hAnsi="宋体" w:eastAsia="仿宋_GB2312"/>
                <w:sz w:val="24"/>
              </w:rPr>
            </w:pPr>
            <w:r>
              <w:rPr>
                <w:rFonts w:hint="eastAsia" w:ascii="仿宋_GB2312" w:hAnsi="宋体" w:eastAsia="仿宋_GB2312"/>
                <w:sz w:val="24"/>
              </w:rPr>
              <w:t>序号</w:t>
            </w:r>
          </w:p>
        </w:tc>
        <w:tc>
          <w:tcPr>
            <w:tcW w:w="1692" w:type="dxa"/>
            <w:noWrap w:val="0"/>
            <w:vAlign w:val="center"/>
          </w:tcPr>
          <w:p w14:paraId="27C7765F">
            <w:pPr>
              <w:jc w:val="center"/>
              <w:rPr>
                <w:rFonts w:ascii="仿宋_GB2312" w:hAnsi="宋体" w:eastAsia="仿宋_GB2312"/>
                <w:sz w:val="24"/>
              </w:rPr>
            </w:pPr>
            <w:r>
              <w:rPr>
                <w:rFonts w:hint="eastAsia" w:ascii="仿宋_GB2312" w:hAnsi="宋体" w:eastAsia="仿宋_GB2312"/>
                <w:sz w:val="24"/>
              </w:rPr>
              <w:t>标准章条编号</w:t>
            </w:r>
          </w:p>
        </w:tc>
        <w:tc>
          <w:tcPr>
            <w:tcW w:w="3833" w:type="dxa"/>
            <w:noWrap w:val="0"/>
            <w:vAlign w:val="center"/>
          </w:tcPr>
          <w:p w14:paraId="6684FC66">
            <w:pPr>
              <w:jc w:val="center"/>
              <w:rPr>
                <w:rFonts w:ascii="仿宋_GB2312" w:hAnsi="宋体" w:eastAsia="仿宋_GB2312"/>
                <w:sz w:val="24"/>
              </w:rPr>
            </w:pPr>
            <w:r>
              <w:rPr>
                <w:rFonts w:hint="eastAsia" w:ascii="仿宋_GB2312" w:hAnsi="宋体" w:eastAsia="仿宋_GB2312"/>
                <w:sz w:val="24"/>
              </w:rPr>
              <w:t>意见内容</w:t>
            </w:r>
          </w:p>
        </w:tc>
        <w:tc>
          <w:tcPr>
            <w:tcW w:w="2437" w:type="dxa"/>
            <w:noWrap w:val="0"/>
            <w:vAlign w:val="center"/>
          </w:tcPr>
          <w:p w14:paraId="4A557275">
            <w:pPr>
              <w:jc w:val="center"/>
              <w:rPr>
                <w:rFonts w:ascii="仿宋_GB2312" w:hAnsi="宋体" w:eastAsia="仿宋_GB2312"/>
                <w:sz w:val="24"/>
              </w:rPr>
            </w:pPr>
            <w:r>
              <w:rPr>
                <w:rFonts w:hint="eastAsia" w:ascii="仿宋_GB2312" w:hAnsi="宋体" w:eastAsia="仿宋_GB2312"/>
                <w:sz w:val="24"/>
              </w:rPr>
              <w:t>提出单位</w:t>
            </w:r>
          </w:p>
          <w:p w14:paraId="6915CC28">
            <w:pPr>
              <w:jc w:val="center"/>
              <w:rPr>
                <w:rFonts w:ascii="仿宋_GB2312" w:hAnsi="宋体" w:eastAsia="仿宋_GB2312"/>
                <w:sz w:val="24"/>
              </w:rPr>
            </w:pPr>
            <w:r>
              <w:rPr>
                <w:rFonts w:hint="eastAsia" w:ascii="仿宋_GB2312" w:hAnsi="宋体" w:eastAsia="仿宋_GB2312"/>
                <w:sz w:val="24"/>
              </w:rPr>
              <w:t>（或个人）</w:t>
            </w:r>
          </w:p>
        </w:tc>
        <w:tc>
          <w:tcPr>
            <w:tcW w:w="1774" w:type="dxa"/>
            <w:noWrap w:val="0"/>
            <w:vAlign w:val="center"/>
          </w:tcPr>
          <w:p w14:paraId="51F8A432">
            <w:pPr>
              <w:jc w:val="center"/>
              <w:rPr>
                <w:rFonts w:ascii="仿宋_GB2312" w:hAnsi="宋体" w:eastAsia="仿宋_GB2312"/>
                <w:sz w:val="24"/>
              </w:rPr>
            </w:pPr>
            <w:r>
              <w:rPr>
                <w:rFonts w:hint="eastAsia" w:ascii="仿宋_GB2312" w:hAnsi="宋体" w:eastAsia="仿宋_GB2312"/>
                <w:sz w:val="24"/>
              </w:rPr>
              <w:t>处理意见</w:t>
            </w:r>
          </w:p>
          <w:p w14:paraId="67ED7FE9">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3090" w:type="dxa"/>
            <w:noWrap w:val="0"/>
            <w:vAlign w:val="center"/>
          </w:tcPr>
          <w:p w14:paraId="73AC1EDF">
            <w:pPr>
              <w:jc w:val="center"/>
              <w:rPr>
                <w:rFonts w:ascii="仿宋_GB2312" w:hAnsi="宋体" w:eastAsia="仿宋_GB2312"/>
                <w:sz w:val="24"/>
              </w:rPr>
            </w:pPr>
            <w:r>
              <w:rPr>
                <w:rFonts w:hint="eastAsia" w:ascii="仿宋_GB2312" w:hAnsi="宋体" w:eastAsia="仿宋_GB2312"/>
                <w:sz w:val="24"/>
              </w:rPr>
              <w:t>意见处理说明</w:t>
            </w:r>
          </w:p>
          <w:p w14:paraId="29455D02">
            <w:pPr>
              <w:jc w:val="center"/>
              <w:rPr>
                <w:rFonts w:ascii="仿宋_GB2312" w:hAnsi="宋体" w:eastAsia="仿宋_GB2312"/>
                <w:sz w:val="24"/>
              </w:rPr>
            </w:pPr>
            <w:r>
              <w:rPr>
                <w:rFonts w:hint="eastAsia" w:ascii="仿宋_GB2312" w:hAnsi="宋体" w:eastAsia="仿宋_GB2312"/>
                <w:sz w:val="24"/>
              </w:rPr>
              <w:t>（不采纳理由等）</w:t>
            </w:r>
          </w:p>
        </w:tc>
      </w:tr>
      <w:tr w14:paraId="2839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09C7741E">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1692" w:type="dxa"/>
            <w:noWrap w:val="0"/>
            <w:vAlign w:val="center"/>
          </w:tcPr>
          <w:p w14:paraId="7E87E67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5.3</w:t>
            </w:r>
          </w:p>
        </w:tc>
        <w:tc>
          <w:tcPr>
            <w:tcW w:w="3833" w:type="dxa"/>
            <w:noWrap w:val="0"/>
            <w:vAlign w:val="center"/>
          </w:tcPr>
          <w:p w14:paraId="0A4184C9">
            <w:pPr>
              <w:jc w:val="center"/>
              <w:rPr>
                <w:rFonts w:hint="eastAsia" w:ascii="仿宋_GB2312" w:hAnsi="宋体" w:eastAsia="仿宋_GB2312"/>
                <w:sz w:val="24"/>
                <w:lang w:eastAsia="zh-CN"/>
              </w:rPr>
            </w:pPr>
            <w:r>
              <w:rPr>
                <w:rFonts w:hint="eastAsia" w:ascii="仿宋_GB2312" w:hAnsi="宋体" w:eastAsia="仿宋_GB2312"/>
                <w:sz w:val="24"/>
                <w:lang w:eastAsia="zh-CN"/>
              </w:rPr>
              <w:t>建议增加“采收技术”</w:t>
            </w:r>
          </w:p>
        </w:tc>
        <w:tc>
          <w:tcPr>
            <w:tcW w:w="2437" w:type="dxa"/>
            <w:noWrap w:val="0"/>
            <w:vAlign w:val="center"/>
          </w:tcPr>
          <w:p w14:paraId="23DF34CF">
            <w:pPr>
              <w:jc w:val="center"/>
              <w:rPr>
                <w:rFonts w:hint="eastAsia" w:ascii="仿宋_GB2312" w:hAnsi="宋体" w:eastAsia="仿宋_GB2312"/>
                <w:sz w:val="24"/>
              </w:rPr>
            </w:pPr>
            <w:r>
              <w:rPr>
                <w:rFonts w:hint="eastAsia" w:ascii="仿宋_GB2312" w:hAnsi="宋体" w:eastAsia="仿宋_GB2312"/>
                <w:sz w:val="24"/>
              </w:rPr>
              <w:t>山西省园艺产业发展中心</w:t>
            </w:r>
          </w:p>
        </w:tc>
        <w:tc>
          <w:tcPr>
            <w:tcW w:w="1774" w:type="dxa"/>
            <w:noWrap w:val="0"/>
            <w:vAlign w:val="center"/>
          </w:tcPr>
          <w:p w14:paraId="118923FF">
            <w:pPr>
              <w:jc w:val="center"/>
              <w:rPr>
                <w:rFonts w:hint="eastAsia" w:ascii="仿宋_GB2312" w:hAnsi="宋体" w:eastAsia="仿宋_GB2312"/>
                <w:sz w:val="24"/>
                <w:lang w:eastAsia="zh-CN"/>
              </w:rPr>
            </w:pPr>
            <w:r>
              <w:rPr>
                <w:rFonts w:hint="eastAsia" w:ascii="仿宋_GB2312" w:hAnsi="宋体" w:eastAsia="仿宋_GB2312"/>
                <w:sz w:val="24"/>
                <w:lang w:eastAsia="zh-CN"/>
              </w:rPr>
              <w:t>采纳</w:t>
            </w:r>
          </w:p>
        </w:tc>
        <w:tc>
          <w:tcPr>
            <w:tcW w:w="3090" w:type="dxa"/>
            <w:noWrap w:val="0"/>
            <w:vAlign w:val="center"/>
          </w:tcPr>
          <w:p w14:paraId="18A7F501">
            <w:pPr>
              <w:jc w:val="center"/>
              <w:rPr>
                <w:rFonts w:hint="eastAsia" w:ascii="仿宋_GB2312" w:hAnsi="宋体" w:eastAsia="仿宋_GB2312"/>
                <w:sz w:val="24"/>
              </w:rPr>
            </w:pPr>
          </w:p>
        </w:tc>
      </w:tr>
      <w:tr w14:paraId="3096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619649B0">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2</w:t>
            </w:r>
          </w:p>
        </w:tc>
        <w:tc>
          <w:tcPr>
            <w:tcW w:w="1692" w:type="dxa"/>
            <w:noWrap w:val="0"/>
            <w:vAlign w:val="center"/>
          </w:tcPr>
          <w:p w14:paraId="1F10A7A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5.2</w:t>
            </w:r>
          </w:p>
        </w:tc>
        <w:tc>
          <w:tcPr>
            <w:tcW w:w="3833" w:type="dxa"/>
            <w:noWrap w:val="0"/>
            <w:vAlign w:val="center"/>
          </w:tcPr>
          <w:p w14:paraId="7584AE07">
            <w:pPr>
              <w:jc w:val="center"/>
              <w:rPr>
                <w:rFonts w:hint="eastAsia" w:ascii="仿宋_GB2312" w:hAnsi="宋体" w:eastAsia="仿宋_GB2312"/>
                <w:sz w:val="24"/>
                <w:lang w:eastAsia="zh-CN"/>
              </w:rPr>
            </w:pPr>
            <w:r>
              <w:rPr>
                <w:rFonts w:hint="eastAsia" w:ascii="仿宋_GB2312" w:hAnsi="宋体" w:eastAsia="仿宋_GB2312"/>
                <w:sz w:val="24"/>
                <w:lang w:eastAsia="zh-CN"/>
              </w:rPr>
              <w:t>建议明确“成熟度”</w:t>
            </w:r>
          </w:p>
        </w:tc>
        <w:tc>
          <w:tcPr>
            <w:tcW w:w="2437" w:type="dxa"/>
            <w:noWrap w:val="0"/>
            <w:vAlign w:val="center"/>
          </w:tcPr>
          <w:p w14:paraId="6B70DEA8">
            <w:pPr>
              <w:jc w:val="center"/>
              <w:rPr>
                <w:rFonts w:hint="eastAsia" w:ascii="仿宋_GB2312" w:hAnsi="宋体" w:eastAsia="仿宋_GB2312"/>
                <w:sz w:val="24"/>
              </w:rPr>
            </w:pPr>
            <w:r>
              <w:rPr>
                <w:rFonts w:hint="eastAsia" w:ascii="仿宋_GB2312" w:hAnsi="宋体" w:eastAsia="仿宋_GB2312"/>
                <w:sz w:val="24"/>
              </w:rPr>
              <w:t>山西省医药与生命科学研究院</w:t>
            </w:r>
          </w:p>
        </w:tc>
        <w:tc>
          <w:tcPr>
            <w:tcW w:w="1774" w:type="dxa"/>
            <w:noWrap w:val="0"/>
            <w:vAlign w:val="center"/>
          </w:tcPr>
          <w:p w14:paraId="357B2B1E">
            <w:pPr>
              <w:jc w:val="center"/>
              <w:rPr>
                <w:rFonts w:hint="eastAsia" w:ascii="仿宋_GB2312" w:hAnsi="宋体" w:eastAsia="仿宋_GB2312"/>
                <w:sz w:val="24"/>
              </w:rPr>
            </w:pPr>
            <w:r>
              <w:rPr>
                <w:rFonts w:hint="eastAsia" w:ascii="仿宋_GB2312" w:hAnsi="宋体" w:eastAsia="仿宋_GB2312"/>
                <w:sz w:val="24"/>
                <w:lang w:eastAsia="zh-CN"/>
              </w:rPr>
              <w:t>采纳</w:t>
            </w:r>
          </w:p>
        </w:tc>
        <w:tc>
          <w:tcPr>
            <w:tcW w:w="3090" w:type="dxa"/>
            <w:noWrap w:val="0"/>
            <w:vAlign w:val="center"/>
          </w:tcPr>
          <w:p w14:paraId="53176D66">
            <w:pPr>
              <w:jc w:val="center"/>
              <w:rPr>
                <w:rFonts w:hint="eastAsia" w:ascii="仿宋_GB2312" w:hAnsi="宋体" w:eastAsia="仿宋_GB2312"/>
                <w:sz w:val="24"/>
              </w:rPr>
            </w:pPr>
          </w:p>
        </w:tc>
      </w:tr>
      <w:tr w14:paraId="3291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228D8EAF">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3</w:t>
            </w:r>
          </w:p>
        </w:tc>
        <w:tc>
          <w:tcPr>
            <w:tcW w:w="1692" w:type="dxa"/>
            <w:noWrap w:val="0"/>
            <w:vAlign w:val="center"/>
          </w:tcPr>
          <w:p w14:paraId="59D2856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5.1</w:t>
            </w:r>
          </w:p>
        </w:tc>
        <w:tc>
          <w:tcPr>
            <w:tcW w:w="3833" w:type="dxa"/>
            <w:noWrap w:val="0"/>
            <w:vAlign w:val="center"/>
          </w:tcPr>
          <w:p w14:paraId="548855A2">
            <w:pPr>
              <w:jc w:val="center"/>
              <w:rPr>
                <w:rFonts w:hint="eastAsia" w:ascii="仿宋_GB2312" w:hAnsi="宋体" w:eastAsia="仿宋_GB2312"/>
                <w:sz w:val="24"/>
                <w:lang w:eastAsia="zh-CN"/>
              </w:rPr>
            </w:pPr>
            <w:r>
              <w:rPr>
                <w:rFonts w:hint="eastAsia" w:ascii="仿宋_GB2312" w:hAnsi="宋体" w:eastAsia="仿宋_GB2312"/>
                <w:sz w:val="24"/>
                <w:lang w:eastAsia="zh-CN"/>
              </w:rPr>
              <w:t>建议将“采收时间”细化</w:t>
            </w:r>
          </w:p>
        </w:tc>
        <w:tc>
          <w:tcPr>
            <w:tcW w:w="2437" w:type="dxa"/>
            <w:noWrap w:val="0"/>
            <w:vAlign w:val="center"/>
          </w:tcPr>
          <w:p w14:paraId="0E90F15F">
            <w:pPr>
              <w:jc w:val="center"/>
              <w:rPr>
                <w:rFonts w:hint="eastAsia" w:ascii="仿宋_GB2312" w:hAnsi="宋体" w:eastAsia="仿宋_GB2312"/>
                <w:sz w:val="24"/>
              </w:rPr>
            </w:pPr>
            <w:r>
              <w:rPr>
                <w:rFonts w:hint="eastAsia" w:ascii="仿宋_GB2312" w:hAnsi="宋体" w:eastAsia="仿宋_GB2312"/>
                <w:sz w:val="24"/>
              </w:rPr>
              <w:t>山西农业大学生命科学学院</w:t>
            </w:r>
          </w:p>
        </w:tc>
        <w:tc>
          <w:tcPr>
            <w:tcW w:w="1774" w:type="dxa"/>
            <w:noWrap w:val="0"/>
            <w:vAlign w:val="center"/>
          </w:tcPr>
          <w:p w14:paraId="4B05E9CF">
            <w:pPr>
              <w:jc w:val="center"/>
              <w:rPr>
                <w:rFonts w:hint="eastAsia" w:ascii="仿宋_GB2312" w:hAnsi="宋体" w:eastAsia="仿宋_GB2312"/>
                <w:sz w:val="24"/>
              </w:rPr>
            </w:pPr>
            <w:r>
              <w:rPr>
                <w:rFonts w:hint="eastAsia" w:ascii="仿宋_GB2312" w:hAnsi="宋体" w:eastAsia="仿宋_GB2312"/>
                <w:sz w:val="24"/>
                <w:lang w:eastAsia="zh-CN"/>
              </w:rPr>
              <w:t>采纳</w:t>
            </w:r>
          </w:p>
        </w:tc>
        <w:tc>
          <w:tcPr>
            <w:tcW w:w="3090" w:type="dxa"/>
            <w:noWrap w:val="0"/>
            <w:vAlign w:val="center"/>
          </w:tcPr>
          <w:p w14:paraId="7D5BB604">
            <w:pPr>
              <w:jc w:val="center"/>
              <w:rPr>
                <w:rFonts w:hint="eastAsia" w:ascii="仿宋_GB2312" w:hAnsi="宋体" w:eastAsia="仿宋_GB2312"/>
                <w:sz w:val="24"/>
              </w:rPr>
            </w:pPr>
          </w:p>
        </w:tc>
      </w:tr>
      <w:tr w14:paraId="0333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4A29815">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4</w:t>
            </w:r>
          </w:p>
        </w:tc>
        <w:tc>
          <w:tcPr>
            <w:tcW w:w="1692" w:type="dxa"/>
            <w:noWrap w:val="0"/>
            <w:vAlign w:val="center"/>
          </w:tcPr>
          <w:p w14:paraId="09B5D462">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3.1</w:t>
            </w:r>
          </w:p>
        </w:tc>
        <w:tc>
          <w:tcPr>
            <w:tcW w:w="3833" w:type="dxa"/>
            <w:noWrap w:val="0"/>
            <w:vAlign w:val="center"/>
          </w:tcPr>
          <w:p w14:paraId="109FADB7">
            <w:pPr>
              <w:jc w:val="center"/>
              <w:rPr>
                <w:rFonts w:hint="eastAsia" w:ascii="仿宋_GB2312" w:hAnsi="宋体" w:eastAsia="仿宋_GB2312"/>
                <w:sz w:val="24"/>
                <w:lang w:eastAsia="zh-CN"/>
              </w:rPr>
            </w:pPr>
            <w:r>
              <w:rPr>
                <w:rFonts w:hint="eastAsia" w:ascii="仿宋_GB2312" w:hAnsi="宋体" w:eastAsia="仿宋_GB2312"/>
                <w:sz w:val="24"/>
                <w:lang w:eastAsia="zh-CN"/>
              </w:rPr>
              <w:t>建议定义“采收袋”</w:t>
            </w:r>
          </w:p>
        </w:tc>
        <w:tc>
          <w:tcPr>
            <w:tcW w:w="2437" w:type="dxa"/>
            <w:noWrap w:val="0"/>
            <w:vAlign w:val="center"/>
          </w:tcPr>
          <w:p w14:paraId="3C802745">
            <w:pPr>
              <w:jc w:val="center"/>
              <w:rPr>
                <w:rFonts w:hint="eastAsia" w:ascii="仿宋_GB2312" w:hAnsi="宋体" w:eastAsia="仿宋_GB2312"/>
                <w:sz w:val="24"/>
              </w:rPr>
            </w:pPr>
            <w:r>
              <w:rPr>
                <w:rFonts w:hint="eastAsia" w:ascii="仿宋_GB2312" w:hAnsi="宋体" w:eastAsia="仿宋_GB2312"/>
                <w:sz w:val="24"/>
              </w:rPr>
              <w:t>晋中市百果农副产品农民专业合作社</w:t>
            </w:r>
          </w:p>
        </w:tc>
        <w:tc>
          <w:tcPr>
            <w:tcW w:w="1774" w:type="dxa"/>
            <w:noWrap w:val="0"/>
            <w:vAlign w:val="center"/>
          </w:tcPr>
          <w:p w14:paraId="2112AFB0">
            <w:pPr>
              <w:jc w:val="center"/>
              <w:rPr>
                <w:rFonts w:hint="eastAsia" w:ascii="仿宋_GB2312" w:hAnsi="宋体" w:eastAsia="仿宋_GB2312"/>
                <w:sz w:val="24"/>
              </w:rPr>
            </w:pPr>
            <w:r>
              <w:rPr>
                <w:rFonts w:hint="eastAsia" w:ascii="仿宋_GB2312" w:hAnsi="宋体" w:eastAsia="仿宋_GB2312"/>
                <w:sz w:val="24"/>
                <w:lang w:eastAsia="zh-CN"/>
              </w:rPr>
              <w:t>采纳</w:t>
            </w:r>
          </w:p>
        </w:tc>
        <w:tc>
          <w:tcPr>
            <w:tcW w:w="3090" w:type="dxa"/>
            <w:noWrap w:val="0"/>
            <w:vAlign w:val="center"/>
          </w:tcPr>
          <w:p w14:paraId="4863DACE">
            <w:pPr>
              <w:jc w:val="center"/>
              <w:rPr>
                <w:rFonts w:hint="eastAsia" w:ascii="仿宋_GB2312" w:hAnsi="宋体" w:eastAsia="仿宋_GB2312"/>
                <w:sz w:val="24"/>
              </w:rPr>
            </w:pPr>
          </w:p>
        </w:tc>
      </w:tr>
      <w:tr w14:paraId="69C5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502B1E81">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5</w:t>
            </w:r>
          </w:p>
        </w:tc>
        <w:tc>
          <w:tcPr>
            <w:tcW w:w="1692" w:type="dxa"/>
            <w:noWrap w:val="0"/>
            <w:vAlign w:val="center"/>
          </w:tcPr>
          <w:p w14:paraId="3074D188">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7</w:t>
            </w:r>
          </w:p>
        </w:tc>
        <w:tc>
          <w:tcPr>
            <w:tcW w:w="3833" w:type="dxa"/>
            <w:noWrap w:val="0"/>
            <w:vAlign w:val="center"/>
          </w:tcPr>
          <w:p w14:paraId="0B8A9E14">
            <w:pPr>
              <w:jc w:val="center"/>
              <w:rPr>
                <w:rFonts w:hint="eastAsia" w:ascii="仿宋_GB2312" w:hAnsi="宋体" w:eastAsia="仿宋_GB2312"/>
                <w:sz w:val="24"/>
                <w:lang w:eastAsia="zh-CN"/>
              </w:rPr>
            </w:pPr>
            <w:r>
              <w:rPr>
                <w:rFonts w:hint="eastAsia" w:ascii="仿宋_GB2312" w:hAnsi="宋体" w:eastAsia="仿宋_GB2312"/>
                <w:sz w:val="24"/>
                <w:lang w:eastAsia="zh-CN"/>
              </w:rPr>
              <w:t>建议制定“采收间歇期管理”</w:t>
            </w:r>
          </w:p>
        </w:tc>
        <w:tc>
          <w:tcPr>
            <w:tcW w:w="2437" w:type="dxa"/>
            <w:noWrap w:val="0"/>
            <w:vAlign w:val="center"/>
          </w:tcPr>
          <w:p w14:paraId="17D93ECB">
            <w:pPr>
              <w:jc w:val="center"/>
              <w:rPr>
                <w:rFonts w:hint="eastAsia" w:ascii="仿宋_GB2312" w:hAnsi="宋体" w:eastAsia="仿宋_GB2312"/>
                <w:sz w:val="24"/>
              </w:rPr>
            </w:pPr>
            <w:r>
              <w:rPr>
                <w:rFonts w:hint="eastAsia" w:ascii="仿宋_GB2312" w:hAnsi="宋体" w:eastAsia="仿宋_GB2312"/>
                <w:sz w:val="24"/>
              </w:rPr>
              <w:t>大同市云州区金健祥农业科技发展有限公司</w:t>
            </w:r>
          </w:p>
        </w:tc>
        <w:tc>
          <w:tcPr>
            <w:tcW w:w="1774" w:type="dxa"/>
            <w:noWrap w:val="0"/>
            <w:vAlign w:val="center"/>
          </w:tcPr>
          <w:p w14:paraId="7695658A">
            <w:pPr>
              <w:jc w:val="center"/>
              <w:rPr>
                <w:rFonts w:hint="eastAsia" w:ascii="仿宋_GB2312" w:hAnsi="宋体" w:eastAsia="仿宋_GB2312"/>
                <w:sz w:val="24"/>
              </w:rPr>
            </w:pPr>
            <w:r>
              <w:rPr>
                <w:rFonts w:hint="eastAsia" w:ascii="仿宋_GB2312" w:hAnsi="宋体" w:eastAsia="仿宋_GB2312"/>
                <w:sz w:val="24"/>
                <w:lang w:eastAsia="zh-CN"/>
              </w:rPr>
              <w:t>采纳</w:t>
            </w:r>
          </w:p>
        </w:tc>
        <w:tc>
          <w:tcPr>
            <w:tcW w:w="3090" w:type="dxa"/>
            <w:noWrap w:val="0"/>
            <w:vAlign w:val="center"/>
          </w:tcPr>
          <w:p w14:paraId="41DDBB04">
            <w:pPr>
              <w:jc w:val="center"/>
              <w:rPr>
                <w:rFonts w:hint="eastAsia" w:ascii="仿宋_GB2312" w:hAnsi="宋体" w:eastAsia="仿宋_GB2312"/>
                <w:sz w:val="24"/>
              </w:rPr>
            </w:pPr>
          </w:p>
        </w:tc>
      </w:tr>
      <w:tr w14:paraId="5498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36F63EAA">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447BB683">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hint="eastAsia" w:cs="Times New Roman"/>
                <w:szCs w:val="21"/>
                <w:u w:val="single"/>
                <w:lang w:val="en-US" w:eastAsia="zh-CN"/>
              </w:rPr>
              <w:t>5</w:t>
            </w:r>
            <w:r>
              <w:rPr>
                <w:rFonts w:hint="eastAsia" w:ascii="仿宋_GB2312" w:hAnsi="宋体" w:eastAsia="仿宋_GB2312"/>
                <w:sz w:val="24"/>
              </w:rPr>
              <w:t>个，收到征求意见稿回函的单位数</w:t>
            </w:r>
            <w:r>
              <w:rPr>
                <w:rFonts w:hint="eastAsia" w:cs="Times New Roman"/>
                <w:szCs w:val="21"/>
                <w:u w:val="single"/>
                <w:lang w:val="en-US" w:eastAsia="zh-CN"/>
              </w:rPr>
              <w:t>5</w:t>
            </w:r>
            <w:r>
              <w:rPr>
                <w:rFonts w:hint="eastAsia" w:ascii="仿宋_GB2312" w:hAnsi="宋体" w:eastAsia="仿宋_GB2312"/>
                <w:sz w:val="24"/>
              </w:rPr>
              <w:t>个，收到征求意见稿并提出意见的单位数</w:t>
            </w:r>
            <w:r>
              <w:rPr>
                <w:rFonts w:hint="eastAsia" w:cs="Times New Roman"/>
                <w:szCs w:val="21"/>
                <w:u w:val="single"/>
                <w:lang w:val="en-US" w:eastAsia="zh-CN"/>
              </w:rPr>
              <w:t>5</w:t>
            </w:r>
            <w:r>
              <w:rPr>
                <w:rFonts w:hint="eastAsia" w:ascii="仿宋_GB2312" w:hAnsi="宋体" w:eastAsia="仿宋_GB2312"/>
                <w:sz w:val="24"/>
              </w:rPr>
              <w:t>个，没有回函的单位数</w:t>
            </w:r>
            <w:r>
              <w:rPr>
                <w:rFonts w:hint="eastAsia" w:cs="Times New Roman"/>
                <w:szCs w:val="21"/>
                <w:u w:val="single"/>
                <w:lang w:val="en-US" w:eastAsia="zh-CN"/>
              </w:rPr>
              <w:t>0</w:t>
            </w:r>
            <w:r>
              <w:rPr>
                <w:rFonts w:hint="eastAsia" w:ascii="仿宋_GB2312" w:hAnsi="宋体" w:eastAsia="仿宋_GB2312"/>
                <w:sz w:val="24"/>
              </w:rPr>
              <w:t>个，共收到</w:t>
            </w:r>
            <w:r>
              <w:rPr>
                <w:rFonts w:hint="eastAsia" w:cs="Times New Roman"/>
                <w:szCs w:val="21"/>
                <w:u w:val="single"/>
                <w:lang w:val="en-US" w:eastAsia="zh-CN"/>
              </w:rPr>
              <w:t>5</w:t>
            </w:r>
            <w:r>
              <w:rPr>
                <w:rFonts w:hint="eastAsia" w:ascii="仿宋_GB2312" w:hAnsi="宋体" w:eastAsia="仿宋_GB2312"/>
                <w:sz w:val="24"/>
              </w:rPr>
              <w:t>条意见，采纳</w:t>
            </w:r>
            <w:r>
              <w:rPr>
                <w:rFonts w:hint="eastAsia" w:cs="Times New Roman"/>
                <w:szCs w:val="21"/>
                <w:u w:val="single"/>
                <w:lang w:val="en-US" w:eastAsia="zh-CN"/>
              </w:rPr>
              <w:t>5</w:t>
            </w:r>
            <w:r>
              <w:rPr>
                <w:rFonts w:hint="eastAsia" w:ascii="仿宋_GB2312" w:hAnsi="宋体" w:eastAsia="仿宋_GB2312"/>
                <w:sz w:val="24"/>
              </w:rPr>
              <w:t>条意见，部分采纳</w:t>
            </w:r>
            <w:r>
              <w:rPr>
                <w:rFonts w:hint="eastAsia" w:cs="Times New Roman"/>
                <w:szCs w:val="21"/>
                <w:u w:val="single"/>
                <w:lang w:val="en-US" w:eastAsia="zh-CN"/>
              </w:rPr>
              <w:t>0</w:t>
            </w:r>
            <w:r>
              <w:rPr>
                <w:rFonts w:hint="eastAsia" w:ascii="仿宋_GB2312" w:hAnsi="宋体" w:eastAsia="仿宋_GB2312"/>
                <w:sz w:val="24"/>
              </w:rPr>
              <w:t>条意见，未采纳</w:t>
            </w:r>
            <w:r>
              <w:rPr>
                <w:rFonts w:hint="eastAsia" w:cs="Times New Roman"/>
                <w:szCs w:val="21"/>
                <w:u w:val="single"/>
                <w:lang w:val="en-US" w:eastAsia="zh-CN"/>
              </w:rPr>
              <w:t>0</w:t>
            </w:r>
            <w:r>
              <w:rPr>
                <w:rFonts w:hint="eastAsia" w:ascii="仿宋_GB2312" w:hAnsi="宋体" w:eastAsia="仿宋_GB2312"/>
                <w:sz w:val="24"/>
              </w:rPr>
              <w:t>条意见。</w:t>
            </w:r>
          </w:p>
        </w:tc>
      </w:tr>
    </w:tbl>
    <w:p w14:paraId="053FF8BF"/>
    <w:p w14:paraId="29CC11CB">
      <w:pPr>
        <w:spacing w:line="360" w:lineRule="auto"/>
        <w:jc w:val="left"/>
        <w:rPr>
          <w:rFonts w:eastAsia="仿宋_GB2312"/>
          <w:sz w:val="24"/>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8D2C1">
    <w:pPr>
      <w:pStyle w:val="9"/>
      <w:jc w:val="center"/>
    </w:pPr>
    <w:r>
      <w:fldChar w:fldCharType="begin"/>
    </w:r>
    <w:r>
      <w:instrText xml:space="preserve">PAGE   \* MERGEFORMAT</w:instrText>
    </w:r>
    <w:r>
      <w:fldChar w:fldCharType="separate"/>
    </w:r>
    <w:r>
      <w:rPr>
        <w:lang w:val="zh-CN"/>
      </w:rPr>
      <w:t>10</w:t>
    </w:r>
    <w:r>
      <w:rPr>
        <w:lang w:val="zh-CN"/>
      </w:rPr>
      <w:fldChar w:fldCharType="end"/>
    </w:r>
  </w:p>
  <w:p w14:paraId="118BAED2">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
    <w:nsid w:val="6FE6CC54"/>
    <w:multiLevelType w:val="singleLevel"/>
    <w:tmpl w:val="6FE6CC54"/>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hhNDc0NTIwYjE0ZGQwMmNkYWZjNjVhMmVkMTUyYTE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5B5"/>
    <w:rsid w:val="00054BA0"/>
    <w:rsid w:val="00061514"/>
    <w:rsid w:val="00073F3B"/>
    <w:rsid w:val="000754B9"/>
    <w:rsid w:val="00080D84"/>
    <w:rsid w:val="00084C0B"/>
    <w:rsid w:val="0008621A"/>
    <w:rsid w:val="00087B70"/>
    <w:rsid w:val="00091B81"/>
    <w:rsid w:val="0009360F"/>
    <w:rsid w:val="0009699A"/>
    <w:rsid w:val="000974DE"/>
    <w:rsid w:val="000A23F9"/>
    <w:rsid w:val="000A281F"/>
    <w:rsid w:val="000A5987"/>
    <w:rsid w:val="000B59DE"/>
    <w:rsid w:val="000C1548"/>
    <w:rsid w:val="000C203B"/>
    <w:rsid w:val="000C24FA"/>
    <w:rsid w:val="000C2F16"/>
    <w:rsid w:val="000C3919"/>
    <w:rsid w:val="000C5AE1"/>
    <w:rsid w:val="000C62FE"/>
    <w:rsid w:val="000D7E22"/>
    <w:rsid w:val="000E0029"/>
    <w:rsid w:val="000E0518"/>
    <w:rsid w:val="000E3D3C"/>
    <w:rsid w:val="000E5DDF"/>
    <w:rsid w:val="00104D9E"/>
    <w:rsid w:val="001079E4"/>
    <w:rsid w:val="00112782"/>
    <w:rsid w:val="00114B28"/>
    <w:rsid w:val="001230E6"/>
    <w:rsid w:val="001331E6"/>
    <w:rsid w:val="00136B80"/>
    <w:rsid w:val="00140883"/>
    <w:rsid w:val="001422D2"/>
    <w:rsid w:val="00142DCA"/>
    <w:rsid w:val="001451F2"/>
    <w:rsid w:val="00153E55"/>
    <w:rsid w:val="00155235"/>
    <w:rsid w:val="001601A8"/>
    <w:rsid w:val="0016381F"/>
    <w:rsid w:val="0016534D"/>
    <w:rsid w:val="001653E3"/>
    <w:rsid w:val="001657F4"/>
    <w:rsid w:val="00184DC2"/>
    <w:rsid w:val="00195264"/>
    <w:rsid w:val="001A0041"/>
    <w:rsid w:val="001A0916"/>
    <w:rsid w:val="001B182E"/>
    <w:rsid w:val="001C0311"/>
    <w:rsid w:val="001C1B81"/>
    <w:rsid w:val="001C2256"/>
    <w:rsid w:val="001C2BE8"/>
    <w:rsid w:val="001C3ACE"/>
    <w:rsid w:val="001D06C4"/>
    <w:rsid w:val="001D0957"/>
    <w:rsid w:val="001D7128"/>
    <w:rsid w:val="001E486F"/>
    <w:rsid w:val="001F695E"/>
    <w:rsid w:val="001F7C13"/>
    <w:rsid w:val="001F7CF9"/>
    <w:rsid w:val="0020132D"/>
    <w:rsid w:val="002042E4"/>
    <w:rsid w:val="00211530"/>
    <w:rsid w:val="00213570"/>
    <w:rsid w:val="00213BE9"/>
    <w:rsid w:val="00215FD5"/>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24E1"/>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372CC"/>
    <w:rsid w:val="00342A32"/>
    <w:rsid w:val="003439A2"/>
    <w:rsid w:val="00344D61"/>
    <w:rsid w:val="003469EC"/>
    <w:rsid w:val="00347085"/>
    <w:rsid w:val="003509C0"/>
    <w:rsid w:val="003556E4"/>
    <w:rsid w:val="0036351B"/>
    <w:rsid w:val="00366032"/>
    <w:rsid w:val="00366270"/>
    <w:rsid w:val="003705E8"/>
    <w:rsid w:val="00371543"/>
    <w:rsid w:val="003716D4"/>
    <w:rsid w:val="0037287A"/>
    <w:rsid w:val="003925B2"/>
    <w:rsid w:val="00394B25"/>
    <w:rsid w:val="00394BB7"/>
    <w:rsid w:val="0039560A"/>
    <w:rsid w:val="003963FB"/>
    <w:rsid w:val="003A21FE"/>
    <w:rsid w:val="003A4743"/>
    <w:rsid w:val="003A5C65"/>
    <w:rsid w:val="003B0DE6"/>
    <w:rsid w:val="003B17F4"/>
    <w:rsid w:val="003B1D77"/>
    <w:rsid w:val="003B38B3"/>
    <w:rsid w:val="003B71B0"/>
    <w:rsid w:val="003B7D6F"/>
    <w:rsid w:val="003C3911"/>
    <w:rsid w:val="003C5273"/>
    <w:rsid w:val="003D3463"/>
    <w:rsid w:val="003D4C10"/>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249C"/>
    <w:rsid w:val="004943B6"/>
    <w:rsid w:val="00494F67"/>
    <w:rsid w:val="00495DCD"/>
    <w:rsid w:val="004A0CC0"/>
    <w:rsid w:val="004A2295"/>
    <w:rsid w:val="004A6D81"/>
    <w:rsid w:val="004A7E24"/>
    <w:rsid w:val="004B7966"/>
    <w:rsid w:val="004B7B8C"/>
    <w:rsid w:val="004C2ECC"/>
    <w:rsid w:val="004D3627"/>
    <w:rsid w:val="004D4066"/>
    <w:rsid w:val="004D62AF"/>
    <w:rsid w:val="004D692D"/>
    <w:rsid w:val="004E305A"/>
    <w:rsid w:val="004E42DA"/>
    <w:rsid w:val="004E45D5"/>
    <w:rsid w:val="004E531D"/>
    <w:rsid w:val="004E5AFA"/>
    <w:rsid w:val="004F10CE"/>
    <w:rsid w:val="004F4490"/>
    <w:rsid w:val="004F4EF5"/>
    <w:rsid w:val="004F5A13"/>
    <w:rsid w:val="004F6A63"/>
    <w:rsid w:val="00504A7B"/>
    <w:rsid w:val="0050538B"/>
    <w:rsid w:val="005119FA"/>
    <w:rsid w:val="00511E79"/>
    <w:rsid w:val="00513F60"/>
    <w:rsid w:val="005165DC"/>
    <w:rsid w:val="00532EC9"/>
    <w:rsid w:val="0053409C"/>
    <w:rsid w:val="0053513E"/>
    <w:rsid w:val="005354BE"/>
    <w:rsid w:val="00535FC3"/>
    <w:rsid w:val="00536728"/>
    <w:rsid w:val="005630A2"/>
    <w:rsid w:val="0056323B"/>
    <w:rsid w:val="005718CE"/>
    <w:rsid w:val="00573771"/>
    <w:rsid w:val="005800ED"/>
    <w:rsid w:val="005811F3"/>
    <w:rsid w:val="00582DEA"/>
    <w:rsid w:val="00583FCC"/>
    <w:rsid w:val="0058589E"/>
    <w:rsid w:val="0059142D"/>
    <w:rsid w:val="005915E3"/>
    <w:rsid w:val="00597C60"/>
    <w:rsid w:val="005A0ED2"/>
    <w:rsid w:val="005A3C89"/>
    <w:rsid w:val="005A42A5"/>
    <w:rsid w:val="005B07C8"/>
    <w:rsid w:val="005B1473"/>
    <w:rsid w:val="005B2700"/>
    <w:rsid w:val="005B4A6F"/>
    <w:rsid w:val="005B7CA6"/>
    <w:rsid w:val="005C1F9E"/>
    <w:rsid w:val="005E5E7B"/>
    <w:rsid w:val="005F020B"/>
    <w:rsid w:val="005F3411"/>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44DA"/>
    <w:rsid w:val="00636FC5"/>
    <w:rsid w:val="006400BA"/>
    <w:rsid w:val="00641B9A"/>
    <w:rsid w:val="006423BB"/>
    <w:rsid w:val="00642628"/>
    <w:rsid w:val="006467CA"/>
    <w:rsid w:val="006500A2"/>
    <w:rsid w:val="00660546"/>
    <w:rsid w:val="0066172F"/>
    <w:rsid w:val="00662AD1"/>
    <w:rsid w:val="00663745"/>
    <w:rsid w:val="00670B31"/>
    <w:rsid w:val="006756E6"/>
    <w:rsid w:val="00681B1B"/>
    <w:rsid w:val="0068404D"/>
    <w:rsid w:val="00691427"/>
    <w:rsid w:val="006915F6"/>
    <w:rsid w:val="006918FB"/>
    <w:rsid w:val="00691C59"/>
    <w:rsid w:val="00693173"/>
    <w:rsid w:val="0069327F"/>
    <w:rsid w:val="0069777F"/>
    <w:rsid w:val="006A4784"/>
    <w:rsid w:val="006A5225"/>
    <w:rsid w:val="006A7107"/>
    <w:rsid w:val="006B3E2E"/>
    <w:rsid w:val="006B4EAE"/>
    <w:rsid w:val="006C472E"/>
    <w:rsid w:val="006C7054"/>
    <w:rsid w:val="006D0FBE"/>
    <w:rsid w:val="006D1116"/>
    <w:rsid w:val="006E02DD"/>
    <w:rsid w:val="006E1129"/>
    <w:rsid w:val="006E553B"/>
    <w:rsid w:val="006F4E12"/>
    <w:rsid w:val="00702811"/>
    <w:rsid w:val="00706BC0"/>
    <w:rsid w:val="00710FB4"/>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561"/>
    <w:rsid w:val="00772C34"/>
    <w:rsid w:val="00773A15"/>
    <w:rsid w:val="007743EC"/>
    <w:rsid w:val="00776852"/>
    <w:rsid w:val="00776D66"/>
    <w:rsid w:val="00777B27"/>
    <w:rsid w:val="00791895"/>
    <w:rsid w:val="00791BB3"/>
    <w:rsid w:val="00792D33"/>
    <w:rsid w:val="0079399E"/>
    <w:rsid w:val="00795AB4"/>
    <w:rsid w:val="007975E1"/>
    <w:rsid w:val="007A1944"/>
    <w:rsid w:val="007A65A0"/>
    <w:rsid w:val="007B0D2E"/>
    <w:rsid w:val="007B2777"/>
    <w:rsid w:val="007B2968"/>
    <w:rsid w:val="007B7BAE"/>
    <w:rsid w:val="007C39F2"/>
    <w:rsid w:val="007C3AD6"/>
    <w:rsid w:val="007C3D18"/>
    <w:rsid w:val="007D08C1"/>
    <w:rsid w:val="007D31A8"/>
    <w:rsid w:val="007E6D31"/>
    <w:rsid w:val="00800843"/>
    <w:rsid w:val="008024F2"/>
    <w:rsid w:val="00805B1B"/>
    <w:rsid w:val="00807629"/>
    <w:rsid w:val="0081155D"/>
    <w:rsid w:val="008125DA"/>
    <w:rsid w:val="00817229"/>
    <w:rsid w:val="00820DFB"/>
    <w:rsid w:val="00821F58"/>
    <w:rsid w:val="008263E7"/>
    <w:rsid w:val="008306CD"/>
    <w:rsid w:val="00836832"/>
    <w:rsid w:val="00840427"/>
    <w:rsid w:val="00841E5F"/>
    <w:rsid w:val="008449F5"/>
    <w:rsid w:val="0084546C"/>
    <w:rsid w:val="008471EC"/>
    <w:rsid w:val="008519FE"/>
    <w:rsid w:val="00856ECE"/>
    <w:rsid w:val="00862581"/>
    <w:rsid w:val="00863825"/>
    <w:rsid w:val="008729C9"/>
    <w:rsid w:val="00874B45"/>
    <w:rsid w:val="00880EC6"/>
    <w:rsid w:val="00884A91"/>
    <w:rsid w:val="008935DA"/>
    <w:rsid w:val="008A07BC"/>
    <w:rsid w:val="008A1B81"/>
    <w:rsid w:val="008A36A4"/>
    <w:rsid w:val="008A4631"/>
    <w:rsid w:val="008A699E"/>
    <w:rsid w:val="008A6D37"/>
    <w:rsid w:val="008B07B9"/>
    <w:rsid w:val="008B7F7F"/>
    <w:rsid w:val="008C1D81"/>
    <w:rsid w:val="008C4583"/>
    <w:rsid w:val="008C770A"/>
    <w:rsid w:val="008D0017"/>
    <w:rsid w:val="008D325D"/>
    <w:rsid w:val="008D59AD"/>
    <w:rsid w:val="008E256F"/>
    <w:rsid w:val="008E454E"/>
    <w:rsid w:val="008F1AAD"/>
    <w:rsid w:val="008F5288"/>
    <w:rsid w:val="0090158A"/>
    <w:rsid w:val="0091113A"/>
    <w:rsid w:val="00915F25"/>
    <w:rsid w:val="009166F0"/>
    <w:rsid w:val="00916E3B"/>
    <w:rsid w:val="00920385"/>
    <w:rsid w:val="009211BD"/>
    <w:rsid w:val="0092160B"/>
    <w:rsid w:val="0092398C"/>
    <w:rsid w:val="0092627B"/>
    <w:rsid w:val="00934199"/>
    <w:rsid w:val="009358E1"/>
    <w:rsid w:val="00936A6B"/>
    <w:rsid w:val="009527D9"/>
    <w:rsid w:val="00953792"/>
    <w:rsid w:val="0096542E"/>
    <w:rsid w:val="009705E2"/>
    <w:rsid w:val="00975940"/>
    <w:rsid w:val="0098254B"/>
    <w:rsid w:val="00983D55"/>
    <w:rsid w:val="0098417D"/>
    <w:rsid w:val="009875C5"/>
    <w:rsid w:val="00991DF6"/>
    <w:rsid w:val="0099572B"/>
    <w:rsid w:val="00996196"/>
    <w:rsid w:val="0099787D"/>
    <w:rsid w:val="009A2FA1"/>
    <w:rsid w:val="009B4E35"/>
    <w:rsid w:val="009B6A3C"/>
    <w:rsid w:val="009C3329"/>
    <w:rsid w:val="009C4E10"/>
    <w:rsid w:val="009C558A"/>
    <w:rsid w:val="009C596B"/>
    <w:rsid w:val="009C5E73"/>
    <w:rsid w:val="009D5C90"/>
    <w:rsid w:val="009F1169"/>
    <w:rsid w:val="009F39E8"/>
    <w:rsid w:val="009F75FD"/>
    <w:rsid w:val="00A05B2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77C9F"/>
    <w:rsid w:val="00A8184F"/>
    <w:rsid w:val="00A8375C"/>
    <w:rsid w:val="00A86DE7"/>
    <w:rsid w:val="00A90B3A"/>
    <w:rsid w:val="00A92B17"/>
    <w:rsid w:val="00A935E8"/>
    <w:rsid w:val="00A9450A"/>
    <w:rsid w:val="00A9569D"/>
    <w:rsid w:val="00AA538B"/>
    <w:rsid w:val="00AA685C"/>
    <w:rsid w:val="00AB297F"/>
    <w:rsid w:val="00AB4A9B"/>
    <w:rsid w:val="00AC0AF2"/>
    <w:rsid w:val="00AC2568"/>
    <w:rsid w:val="00AC368D"/>
    <w:rsid w:val="00AC7446"/>
    <w:rsid w:val="00AD10B8"/>
    <w:rsid w:val="00AD6B94"/>
    <w:rsid w:val="00AE3EAF"/>
    <w:rsid w:val="00AE5BC3"/>
    <w:rsid w:val="00AF0D1C"/>
    <w:rsid w:val="00AF262B"/>
    <w:rsid w:val="00AF58B6"/>
    <w:rsid w:val="00B01F81"/>
    <w:rsid w:val="00B03A6D"/>
    <w:rsid w:val="00B04CAD"/>
    <w:rsid w:val="00B04FD0"/>
    <w:rsid w:val="00B071E5"/>
    <w:rsid w:val="00B104BD"/>
    <w:rsid w:val="00B1146C"/>
    <w:rsid w:val="00B130AF"/>
    <w:rsid w:val="00B22B39"/>
    <w:rsid w:val="00B24ED8"/>
    <w:rsid w:val="00B26212"/>
    <w:rsid w:val="00B271DE"/>
    <w:rsid w:val="00B27F8A"/>
    <w:rsid w:val="00B3317B"/>
    <w:rsid w:val="00B36550"/>
    <w:rsid w:val="00B43960"/>
    <w:rsid w:val="00B4571D"/>
    <w:rsid w:val="00B503CA"/>
    <w:rsid w:val="00B56043"/>
    <w:rsid w:val="00B67E1C"/>
    <w:rsid w:val="00B7603D"/>
    <w:rsid w:val="00B767B8"/>
    <w:rsid w:val="00B77A1D"/>
    <w:rsid w:val="00B80ADA"/>
    <w:rsid w:val="00B833D0"/>
    <w:rsid w:val="00B8370A"/>
    <w:rsid w:val="00B85CE2"/>
    <w:rsid w:val="00B877F0"/>
    <w:rsid w:val="00B902B0"/>
    <w:rsid w:val="00B92523"/>
    <w:rsid w:val="00B93351"/>
    <w:rsid w:val="00B95810"/>
    <w:rsid w:val="00B95E63"/>
    <w:rsid w:val="00B96E91"/>
    <w:rsid w:val="00BA2CDB"/>
    <w:rsid w:val="00BA3C87"/>
    <w:rsid w:val="00BA3CFC"/>
    <w:rsid w:val="00BA49FA"/>
    <w:rsid w:val="00BA595B"/>
    <w:rsid w:val="00BA624D"/>
    <w:rsid w:val="00BA7A98"/>
    <w:rsid w:val="00BB1509"/>
    <w:rsid w:val="00BB6BC4"/>
    <w:rsid w:val="00BC574C"/>
    <w:rsid w:val="00BC5FAC"/>
    <w:rsid w:val="00BD5606"/>
    <w:rsid w:val="00BD5A37"/>
    <w:rsid w:val="00BD6D8E"/>
    <w:rsid w:val="00BE2554"/>
    <w:rsid w:val="00BE2B2A"/>
    <w:rsid w:val="00BE2C4E"/>
    <w:rsid w:val="00BE3B52"/>
    <w:rsid w:val="00BE465C"/>
    <w:rsid w:val="00C0419D"/>
    <w:rsid w:val="00C05123"/>
    <w:rsid w:val="00C06C73"/>
    <w:rsid w:val="00C15323"/>
    <w:rsid w:val="00C17F30"/>
    <w:rsid w:val="00C3286F"/>
    <w:rsid w:val="00C3299F"/>
    <w:rsid w:val="00C33013"/>
    <w:rsid w:val="00C37401"/>
    <w:rsid w:val="00C43949"/>
    <w:rsid w:val="00C459D1"/>
    <w:rsid w:val="00C505BD"/>
    <w:rsid w:val="00C50A96"/>
    <w:rsid w:val="00C561D9"/>
    <w:rsid w:val="00C665D4"/>
    <w:rsid w:val="00C7245E"/>
    <w:rsid w:val="00C76C16"/>
    <w:rsid w:val="00C77D84"/>
    <w:rsid w:val="00C815C4"/>
    <w:rsid w:val="00C84B6C"/>
    <w:rsid w:val="00C87A9C"/>
    <w:rsid w:val="00C93AC5"/>
    <w:rsid w:val="00CA0F6E"/>
    <w:rsid w:val="00CA1614"/>
    <w:rsid w:val="00CA54AC"/>
    <w:rsid w:val="00CA746E"/>
    <w:rsid w:val="00CA7B78"/>
    <w:rsid w:val="00CB117C"/>
    <w:rsid w:val="00CC297A"/>
    <w:rsid w:val="00CC3B0C"/>
    <w:rsid w:val="00CD687E"/>
    <w:rsid w:val="00CD6BB6"/>
    <w:rsid w:val="00CE3B64"/>
    <w:rsid w:val="00CE46BA"/>
    <w:rsid w:val="00CE7C77"/>
    <w:rsid w:val="00CF763D"/>
    <w:rsid w:val="00D002E5"/>
    <w:rsid w:val="00D020CC"/>
    <w:rsid w:val="00D042CB"/>
    <w:rsid w:val="00D062B7"/>
    <w:rsid w:val="00D07B42"/>
    <w:rsid w:val="00D10633"/>
    <w:rsid w:val="00D10DC3"/>
    <w:rsid w:val="00D143DB"/>
    <w:rsid w:val="00D211A9"/>
    <w:rsid w:val="00D25512"/>
    <w:rsid w:val="00D259BF"/>
    <w:rsid w:val="00D26281"/>
    <w:rsid w:val="00D27F7C"/>
    <w:rsid w:val="00D45971"/>
    <w:rsid w:val="00D46020"/>
    <w:rsid w:val="00D56B74"/>
    <w:rsid w:val="00D57A84"/>
    <w:rsid w:val="00D665A9"/>
    <w:rsid w:val="00D72C03"/>
    <w:rsid w:val="00D81CD3"/>
    <w:rsid w:val="00D83505"/>
    <w:rsid w:val="00D8423F"/>
    <w:rsid w:val="00D85C82"/>
    <w:rsid w:val="00D9062C"/>
    <w:rsid w:val="00D91C3A"/>
    <w:rsid w:val="00D93605"/>
    <w:rsid w:val="00D9617E"/>
    <w:rsid w:val="00DB05EF"/>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DF6E53"/>
    <w:rsid w:val="00E05868"/>
    <w:rsid w:val="00E07594"/>
    <w:rsid w:val="00E11D5F"/>
    <w:rsid w:val="00E15C5B"/>
    <w:rsid w:val="00E23F76"/>
    <w:rsid w:val="00E25E43"/>
    <w:rsid w:val="00E275CE"/>
    <w:rsid w:val="00E41C96"/>
    <w:rsid w:val="00E42650"/>
    <w:rsid w:val="00E4682B"/>
    <w:rsid w:val="00E47699"/>
    <w:rsid w:val="00E510AB"/>
    <w:rsid w:val="00E544D7"/>
    <w:rsid w:val="00E628B1"/>
    <w:rsid w:val="00E64E4B"/>
    <w:rsid w:val="00E66A6E"/>
    <w:rsid w:val="00E71D53"/>
    <w:rsid w:val="00E722BD"/>
    <w:rsid w:val="00E830F6"/>
    <w:rsid w:val="00E87347"/>
    <w:rsid w:val="00E945B0"/>
    <w:rsid w:val="00E94AFD"/>
    <w:rsid w:val="00E957AE"/>
    <w:rsid w:val="00EA6262"/>
    <w:rsid w:val="00EB4480"/>
    <w:rsid w:val="00EB6465"/>
    <w:rsid w:val="00EC20E4"/>
    <w:rsid w:val="00ED6677"/>
    <w:rsid w:val="00ED66C4"/>
    <w:rsid w:val="00EE6530"/>
    <w:rsid w:val="00F00E80"/>
    <w:rsid w:val="00F0713A"/>
    <w:rsid w:val="00F11018"/>
    <w:rsid w:val="00F15AF4"/>
    <w:rsid w:val="00F16B68"/>
    <w:rsid w:val="00F16E22"/>
    <w:rsid w:val="00F17C71"/>
    <w:rsid w:val="00F27339"/>
    <w:rsid w:val="00F37D20"/>
    <w:rsid w:val="00F42342"/>
    <w:rsid w:val="00F44A09"/>
    <w:rsid w:val="00F45CB7"/>
    <w:rsid w:val="00F52378"/>
    <w:rsid w:val="00F54888"/>
    <w:rsid w:val="00F56B57"/>
    <w:rsid w:val="00F57262"/>
    <w:rsid w:val="00F61A51"/>
    <w:rsid w:val="00F6407D"/>
    <w:rsid w:val="00F64FBB"/>
    <w:rsid w:val="00F67F81"/>
    <w:rsid w:val="00F703AD"/>
    <w:rsid w:val="00F70EA3"/>
    <w:rsid w:val="00F72BC1"/>
    <w:rsid w:val="00F73553"/>
    <w:rsid w:val="00F778B9"/>
    <w:rsid w:val="00F77E65"/>
    <w:rsid w:val="00F8226F"/>
    <w:rsid w:val="00F83543"/>
    <w:rsid w:val="00F84C53"/>
    <w:rsid w:val="00F907D1"/>
    <w:rsid w:val="00F926B8"/>
    <w:rsid w:val="00F9426F"/>
    <w:rsid w:val="00F95F55"/>
    <w:rsid w:val="00F968DC"/>
    <w:rsid w:val="00FA126E"/>
    <w:rsid w:val="00FA2E27"/>
    <w:rsid w:val="00FA4128"/>
    <w:rsid w:val="00FA6158"/>
    <w:rsid w:val="00FA63F4"/>
    <w:rsid w:val="00FB15E3"/>
    <w:rsid w:val="00FB79BD"/>
    <w:rsid w:val="00FC3F99"/>
    <w:rsid w:val="00FC754C"/>
    <w:rsid w:val="00FD0304"/>
    <w:rsid w:val="00FD3CE4"/>
    <w:rsid w:val="00FD684B"/>
    <w:rsid w:val="00FE245A"/>
    <w:rsid w:val="057905AA"/>
    <w:rsid w:val="132C07B9"/>
    <w:rsid w:val="13E77372"/>
    <w:rsid w:val="247E1DE3"/>
    <w:rsid w:val="26C03FA9"/>
    <w:rsid w:val="321C7D13"/>
    <w:rsid w:val="326339B3"/>
    <w:rsid w:val="341118BA"/>
    <w:rsid w:val="3D25D500"/>
    <w:rsid w:val="3EEF98DD"/>
    <w:rsid w:val="3F9FD22F"/>
    <w:rsid w:val="470749E1"/>
    <w:rsid w:val="4F7B247E"/>
    <w:rsid w:val="55026855"/>
    <w:rsid w:val="570955BD"/>
    <w:rsid w:val="57D94567"/>
    <w:rsid w:val="58207B17"/>
    <w:rsid w:val="588C69A8"/>
    <w:rsid w:val="5C923E52"/>
    <w:rsid w:val="5CFF1606"/>
    <w:rsid w:val="5DFFCE9C"/>
    <w:rsid w:val="5FB81DCD"/>
    <w:rsid w:val="5FF862CB"/>
    <w:rsid w:val="63BD8BA4"/>
    <w:rsid w:val="66E12A87"/>
    <w:rsid w:val="6B240061"/>
    <w:rsid w:val="6BFEE3C0"/>
    <w:rsid w:val="6BFF0146"/>
    <w:rsid w:val="6CAD3966"/>
    <w:rsid w:val="6EFD90F7"/>
    <w:rsid w:val="72DE18B7"/>
    <w:rsid w:val="7329008F"/>
    <w:rsid w:val="77316C41"/>
    <w:rsid w:val="77C6AB6B"/>
    <w:rsid w:val="77FF4F98"/>
    <w:rsid w:val="79FF0142"/>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8"/>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caption"/>
    <w:basedOn w:val="1"/>
    <w:next w:val="1"/>
    <w:autoRedefine/>
    <w:qFormat/>
    <w:uiPriority w:val="99"/>
    <w:pPr>
      <w:suppressLineNumbers/>
      <w:suppressAutoHyphens/>
      <w:spacing w:before="120" w:after="120"/>
    </w:pPr>
    <w:rPr>
      <w:rFonts w:cs="Mangal"/>
      <w:i/>
      <w:iCs/>
      <w:kern w:val="21"/>
      <w:sz w:val="24"/>
      <w:lang w:eastAsia="ar-SA"/>
    </w:rPr>
  </w:style>
  <w:style w:type="paragraph" w:styleId="6">
    <w:name w:val="Body Text"/>
    <w:basedOn w:val="1"/>
    <w:link w:val="28"/>
    <w:autoRedefine/>
    <w:qFormat/>
    <w:uiPriority w:val="0"/>
    <w:pPr>
      <w:spacing w:after="120"/>
    </w:pPr>
  </w:style>
  <w:style w:type="paragraph" w:styleId="7">
    <w:name w:val="Date"/>
    <w:basedOn w:val="1"/>
    <w:next w:val="1"/>
    <w:link w:val="27"/>
    <w:autoRedefine/>
    <w:semiHidden/>
    <w:unhideWhenUsed/>
    <w:qFormat/>
    <w:uiPriority w:val="99"/>
    <w:pPr>
      <w:ind w:left="100" w:leftChars="2500"/>
    </w:pPr>
  </w:style>
  <w:style w:type="paragraph" w:styleId="8">
    <w:name w:val="Balloon Text"/>
    <w:basedOn w:val="1"/>
    <w:link w:val="24"/>
    <w:autoRedefine/>
    <w:semiHidden/>
    <w:unhideWhenUsed/>
    <w:qFormat/>
    <w:uiPriority w:val="99"/>
    <w:rPr>
      <w:sz w:val="18"/>
      <w:szCs w:val="18"/>
    </w:rPr>
  </w:style>
  <w:style w:type="paragraph" w:styleId="9">
    <w:name w:val="footer"/>
    <w:basedOn w:val="1"/>
    <w:link w:val="23"/>
    <w:autoRedefine/>
    <w:unhideWhenUsed/>
    <w:qFormat/>
    <w:uiPriority w:val="99"/>
    <w:pPr>
      <w:tabs>
        <w:tab w:val="center" w:pos="4153"/>
        <w:tab w:val="right" w:pos="8306"/>
      </w:tabs>
      <w:snapToGrid w:val="0"/>
      <w:jc w:val="left"/>
    </w:pPr>
    <w:rPr>
      <w:sz w:val="18"/>
      <w:szCs w:val="18"/>
    </w:rPr>
  </w:style>
  <w:style w:type="paragraph" w:styleId="10">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2">
    <w:name w:val="Normal (Web)"/>
    <w:basedOn w:val="1"/>
    <w:autoRedefine/>
    <w:semiHidden/>
    <w:unhideWhenUsed/>
    <w:qFormat/>
    <w:uiPriority w:val="99"/>
    <w:pPr>
      <w:widowControl/>
      <w:spacing w:beforeAutospacing="1" w:afterAutospacing="1"/>
      <w:jc w:val="left"/>
    </w:pPr>
    <w:rPr>
      <w:rFonts w:ascii="宋体" w:hAnsi="宋体"/>
      <w:kern w:val="0"/>
      <w:sz w:val="24"/>
    </w:rPr>
  </w:style>
  <w:style w:type="table" w:styleId="14">
    <w:name w:val="Table Grid"/>
    <w:basedOn w:val="1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99"/>
    <w:rPr>
      <w:rFonts w:cs="Times New Roman"/>
      <w:b/>
    </w:rPr>
  </w:style>
  <w:style w:type="character" w:customStyle="1" w:styleId="17">
    <w:name w:val="标题 1 Char"/>
    <w:link w:val="2"/>
    <w:autoRedefine/>
    <w:qFormat/>
    <w:locked/>
    <w:uiPriority w:val="99"/>
    <w:rPr>
      <w:rFonts w:cs="Times New Roman"/>
      <w:b/>
      <w:kern w:val="1"/>
      <w:sz w:val="44"/>
      <w:lang w:eastAsia="ar-SA" w:bidi="ar-SA"/>
    </w:rPr>
  </w:style>
  <w:style w:type="character" w:customStyle="1" w:styleId="18">
    <w:name w:val="标题 3 Char"/>
    <w:link w:val="3"/>
    <w:autoRedefine/>
    <w:qFormat/>
    <w:locked/>
    <w:uiPriority w:val="99"/>
    <w:rPr>
      <w:rFonts w:cs="Times New Roman"/>
      <w:b/>
      <w:kern w:val="21"/>
      <w:sz w:val="32"/>
      <w:lang w:eastAsia="ar-SA" w:bidi="ar-SA"/>
    </w:rPr>
  </w:style>
  <w:style w:type="paragraph" w:styleId="19">
    <w:name w:val="List Paragraph"/>
    <w:basedOn w:val="1"/>
    <w:autoRedefine/>
    <w:qFormat/>
    <w:uiPriority w:val="99"/>
    <w:pPr>
      <w:suppressAutoHyphens/>
      <w:ind w:firstLine="420" w:firstLineChars="200"/>
    </w:pPr>
    <w:rPr>
      <w:kern w:val="21"/>
      <w:lang w:eastAsia="ar-SA"/>
    </w:rPr>
  </w:style>
  <w:style w:type="paragraph" w:customStyle="1" w:styleId="20">
    <w:name w:val="段"/>
    <w:link w:val="2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link w:val="20"/>
    <w:autoRedefine/>
    <w:qFormat/>
    <w:locked/>
    <w:uiPriority w:val="0"/>
    <w:rPr>
      <w:rFonts w:ascii="宋体" w:cs="Times New Roman"/>
      <w:sz w:val="21"/>
      <w:lang w:val="en-US" w:eastAsia="zh-CN" w:bidi="ar-SA"/>
    </w:rPr>
  </w:style>
  <w:style w:type="character" w:customStyle="1" w:styleId="22">
    <w:name w:val="页眉 Char"/>
    <w:link w:val="10"/>
    <w:autoRedefine/>
    <w:qFormat/>
    <w:uiPriority w:val="99"/>
    <w:rPr>
      <w:sz w:val="18"/>
      <w:szCs w:val="18"/>
    </w:rPr>
  </w:style>
  <w:style w:type="character" w:customStyle="1" w:styleId="23">
    <w:name w:val="页脚 Char"/>
    <w:link w:val="9"/>
    <w:autoRedefine/>
    <w:qFormat/>
    <w:uiPriority w:val="99"/>
    <w:rPr>
      <w:sz w:val="18"/>
      <w:szCs w:val="18"/>
    </w:rPr>
  </w:style>
  <w:style w:type="character" w:customStyle="1" w:styleId="24">
    <w:name w:val="批注框文本 Char"/>
    <w:link w:val="8"/>
    <w:autoRedefine/>
    <w:semiHidden/>
    <w:qFormat/>
    <w:uiPriority w:val="99"/>
    <w:rPr>
      <w:kern w:val="2"/>
      <w:sz w:val="18"/>
      <w:szCs w:val="18"/>
    </w:rPr>
  </w:style>
  <w:style w:type="table" w:customStyle="1" w:styleId="25">
    <w:name w:val="浅色底纹1"/>
    <w:basedOn w:val="13"/>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6">
    <w:name w:val="浅色底纹2"/>
    <w:basedOn w:val="13"/>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7">
    <w:name w:val="日期 Char"/>
    <w:basedOn w:val="15"/>
    <w:link w:val="7"/>
    <w:autoRedefine/>
    <w:semiHidden/>
    <w:qFormat/>
    <w:uiPriority w:val="99"/>
    <w:rPr>
      <w:kern w:val="2"/>
      <w:sz w:val="21"/>
      <w:szCs w:val="24"/>
    </w:rPr>
  </w:style>
  <w:style w:type="character" w:customStyle="1" w:styleId="28">
    <w:name w:val="正文文本 Char"/>
    <w:basedOn w:val="15"/>
    <w:link w:val="6"/>
    <w:autoRedefine/>
    <w:qFormat/>
    <w:uiPriority w:val="0"/>
    <w:rPr>
      <w:kern w:val="2"/>
      <w:sz w:val="21"/>
      <w:szCs w:val="24"/>
    </w:rPr>
  </w:style>
  <w:style w:type="paragraph" w:customStyle="1" w:styleId="29">
    <w:name w:val="标准文件_段"/>
    <w:link w:val="3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标准文件_段 Char"/>
    <w:link w:val="29"/>
    <w:autoRedefine/>
    <w:qFormat/>
    <w:uiPriority w:val="0"/>
    <w:rPr>
      <w:rFonts w:ascii="宋体"/>
      <w:sz w:val="21"/>
    </w:rPr>
  </w:style>
  <w:style w:type="paragraph" w:customStyle="1" w:styleId="31">
    <w:name w:val="一级条标题"/>
    <w:next w:val="20"/>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2">
    <w:name w:val="二级条标题"/>
    <w:basedOn w:val="31"/>
    <w:next w:val="20"/>
    <w:autoRedefine/>
    <w:qFormat/>
    <w:uiPriority w:val="0"/>
    <w:pPr>
      <w:numPr>
        <w:ilvl w:val="2"/>
      </w:numPr>
      <w:spacing w:before="50" w:after="50"/>
      <w:outlineLvl w:val="3"/>
    </w:pPr>
  </w:style>
  <w:style w:type="paragraph" w:customStyle="1" w:styleId="33">
    <w:name w:val="附录表标题"/>
    <w:basedOn w:val="1"/>
    <w:next w:val="20"/>
    <w:autoRedefine/>
    <w:qFormat/>
    <w:uiPriority w:val="0"/>
    <w:pPr>
      <w:numPr>
        <w:ilvl w:val="1"/>
        <w:numId w:val="2"/>
      </w:numPr>
      <w:tabs>
        <w:tab w:val="left" w:pos="180"/>
      </w:tabs>
      <w:spacing w:beforeLines="50" w:afterLines="50"/>
      <w:ind w:left="0" w:firstLine="0"/>
      <w:jc w:val="center"/>
    </w:pPr>
    <w:rPr>
      <w:rFonts w:ascii="黑体" w:eastAsia="黑体"/>
      <w:szCs w:val="21"/>
    </w:rPr>
  </w:style>
  <w:style w:type="table" w:customStyle="1" w:styleId="34">
    <w:name w:val="网格型1"/>
    <w:basedOn w:val="1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11</Pages>
  <Words>1878</Words>
  <Characters>1960</Characters>
  <Lines>31</Lines>
  <Paragraphs>8</Paragraphs>
  <TotalTime>1</TotalTime>
  <ScaleCrop>false</ScaleCrop>
  <LinksUpToDate>false</LinksUpToDate>
  <CharactersWithSpaces>1983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2024-10-14T02:32:00Z</dcterms:created>
  <dc:creator>lenovo</dc:creator>
  <cp:lastModifiedBy>那苇一条芯 ^_^</cp:lastModifiedBy>
  <cp:lastPrinted>2024-03-21T06:58:00Z</cp:lastPrinted>
  <dcterms:modified xsi:type="dcterms:W3CDTF">2024-11-07T06:47:58Z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16DEC057891D4C0DB8764FBC7996C205_13</vt:lpwstr>
  </property>
</Properties>
</file>